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17DF8" w14:textId="77777777" w:rsidR="00A3488F" w:rsidRDefault="00D4377D">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#117-bis-e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R3-225937</w:t>
      </w:r>
    </w:p>
    <w:p w14:paraId="58617DF9" w14:textId="77777777" w:rsidR="00A3488F" w:rsidRDefault="00D4377D">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October 10</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18</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58617DFA" w14:textId="77777777" w:rsidR="00A3488F" w:rsidRDefault="00A3488F">
      <w:pPr>
        <w:pStyle w:val="3GPPHeader"/>
        <w:spacing w:before="120" w:after="0"/>
        <w:rPr>
          <w:rFonts w:ascii="Times New Roman" w:hAnsi="Times New Roman" w:cs="Times New Roman"/>
          <w:lang w:val="en-GB"/>
        </w:rPr>
      </w:pPr>
    </w:p>
    <w:p w14:paraId="58617DFB" w14:textId="77777777" w:rsidR="00A3488F" w:rsidRDefault="00D4377D">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13.2</w:t>
      </w:r>
    </w:p>
    <w:p w14:paraId="58617DFC" w14:textId="77777777" w:rsidR="00A3488F" w:rsidRDefault="00D4377D">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58617DFD" w14:textId="77777777" w:rsidR="00A3488F" w:rsidRDefault="00D4377D">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 xml:space="preserve">CB # IAB2_Mobility - Summary of email discussion </w:t>
      </w:r>
    </w:p>
    <w:p w14:paraId="58617DFE" w14:textId="77777777" w:rsidR="00A3488F" w:rsidRDefault="00D4377D">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58617DFF" w14:textId="77777777" w:rsidR="00A3488F" w:rsidRDefault="00D4377D">
      <w:pPr>
        <w:pStyle w:val="Heading1"/>
        <w:spacing w:before="120" w:after="0"/>
        <w:rPr>
          <w:rFonts w:ascii="Arial" w:hAnsi="Arial" w:cs="Arial"/>
          <w:lang w:val="en-GB"/>
        </w:rPr>
      </w:pPr>
      <w:r>
        <w:rPr>
          <w:rFonts w:ascii="Arial" w:hAnsi="Arial" w:cs="Arial"/>
          <w:lang w:val="en-GB"/>
        </w:rPr>
        <w:t>Introduction</w:t>
      </w:r>
    </w:p>
    <w:p w14:paraId="58617E00" w14:textId="77777777" w:rsidR="00A3488F" w:rsidRDefault="00D4377D">
      <w:pPr>
        <w:widowControl w:val="0"/>
        <w:spacing w:before="120" w:after="0"/>
        <w:rPr>
          <w:rFonts w:ascii="Times New Roman" w:hAnsi="Times New Roman" w:cs="Times New Roman"/>
          <w:color w:val="000000"/>
          <w:sz w:val="20"/>
          <w:szCs w:val="20"/>
          <w:lang w:val="en-GB"/>
        </w:rPr>
      </w:pPr>
      <w:bookmarkStart w:id="1" w:name="_Hlk72145532"/>
      <w:bookmarkStart w:id="2" w:name="_Hlk72145577"/>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Wednesday, October 12</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15.59 UTC.</w:t>
      </w:r>
    </w:p>
    <w:bookmarkEnd w:id="1"/>
    <w:bookmarkEnd w:id="2"/>
    <w:p w14:paraId="58617E01" w14:textId="77777777" w:rsidR="00A3488F" w:rsidRDefault="00D4377D">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58617E02" w14:textId="77777777" w:rsidR="00A3488F" w:rsidRDefault="00D4377D">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[Eri5345] The Migration Procedure for Mobile IAB-Nodes (Ericsson)</w:t>
      </w:r>
    </w:p>
    <w:p w14:paraId="58617E03" w14:textId="77777777" w:rsidR="00A3488F" w:rsidRDefault="00D4377D">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[QC5359] Topology adaptation for mobile IAB (Qualcomm Inc.)</w:t>
      </w:r>
    </w:p>
    <w:p w14:paraId="58617E04" w14:textId="77777777" w:rsidR="00A3488F" w:rsidRDefault="00D4377D">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[Fuj5434] Discussion on IAB-node mobility (Fujitsu)</w:t>
      </w:r>
    </w:p>
    <w:p w14:paraId="58617E05" w14:textId="77777777" w:rsidR="00A3488F" w:rsidRDefault="00D4377D">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[Fuj5435] Discussion on IAB full migration (Fujitsu)</w:t>
      </w:r>
    </w:p>
    <w:p w14:paraId="58617E06" w14:textId="77777777" w:rsidR="00A3488F" w:rsidRDefault="00D4377D">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[ZTE5439] Discussion on inter-donor migration in mobile IAB scenario (ZTE)</w:t>
      </w:r>
    </w:p>
    <w:p w14:paraId="58617E07" w14:textId="77777777" w:rsidR="00A3488F" w:rsidRDefault="00D4377D">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[Nok5454] IAB-DU migration based on dual-DU (Nokia, Nokia Shanghai Bell)</w:t>
      </w:r>
    </w:p>
    <w:p w14:paraId="58617E08" w14:textId="77777777" w:rsidR="00A3488F" w:rsidRDefault="00D4377D">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[Len5488] Discussion on mobile IAB-node inter-donor topology adaptation (Lenovo)</w:t>
      </w:r>
    </w:p>
    <w:p w14:paraId="58617E09" w14:textId="77777777" w:rsidR="00A3488F" w:rsidRDefault="00D4377D">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[Len5489] Inter-donor full migration procedure of mobile IAB-node (Lenovo)</w:t>
      </w:r>
    </w:p>
    <w:p w14:paraId="58617E0A" w14:textId="77777777" w:rsidR="00A3488F" w:rsidRDefault="00D4377D">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[Hua5680] Discussion on partial migration for mobile IAB (Huawei)</w:t>
      </w:r>
    </w:p>
    <w:p w14:paraId="58617E0B" w14:textId="77777777" w:rsidR="00A3488F" w:rsidRDefault="00D4377D">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[Hua5681] Discussion on full migration for mobile IAB (Huawei)</w:t>
      </w:r>
    </w:p>
    <w:p w14:paraId="58617E0C" w14:textId="77777777" w:rsidR="00A3488F" w:rsidRDefault="00D4377D">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[Sam5714] Discussion on IAB-node mobility (Samsung)</w:t>
      </w:r>
    </w:p>
    <w:p w14:paraId="58617E0D" w14:textId="77777777" w:rsidR="00A3488F" w:rsidRDefault="00D4377D">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[Sam5715] Discussion on full migration procedure (Samsung)</w:t>
      </w:r>
    </w:p>
    <w:p w14:paraId="58617E0E" w14:textId="77777777" w:rsidR="00A3488F" w:rsidRDefault="00D4377D">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[Xmi5752] Discussion on IAB-node mobility (Xiaomi)</w:t>
      </w:r>
    </w:p>
    <w:p w14:paraId="58617E11" w14:textId="77777777" w:rsidR="00A3488F" w:rsidRDefault="00A3488F">
      <w:pPr>
        <w:spacing w:before="120" w:after="0"/>
        <w:ind w:left="360"/>
        <w:rPr>
          <w:rFonts w:ascii="Times New Roman" w:hAnsi="Times New Roman" w:cs="Times New Roman"/>
          <w:color w:val="000000"/>
          <w:sz w:val="20"/>
          <w:szCs w:val="20"/>
          <w:lang w:val="en-GB"/>
        </w:rPr>
      </w:pPr>
    </w:p>
    <w:p w14:paraId="58617E12" w14:textId="77777777" w:rsidR="00A3488F" w:rsidRDefault="00D4377D">
      <w:pPr>
        <w:pStyle w:val="Heading1"/>
        <w:spacing w:before="120" w:after="0"/>
        <w:rPr>
          <w:rFonts w:ascii="Arial" w:hAnsi="Arial" w:cs="Arial"/>
          <w:lang w:val="en-GB"/>
        </w:rPr>
      </w:pPr>
      <w:bookmarkStart w:id="3" w:name="_Hlk87391000"/>
      <w:r>
        <w:rPr>
          <w:rFonts w:ascii="Arial" w:hAnsi="Arial" w:cs="Arial"/>
          <w:lang w:val="en-GB"/>
        </w:rPr>
        <w:lastRenderedPageBreak/>
        <w:t>For the Chairman notes</w:t>
      </w:r>
    </w:p>
    <w:p w14:paraId="45C488D2" w14:textId="77777777" w:rsidR="003F57BA" w:rsidRDefault="003F57BA" w:rsidP="003F57BA">
      <w:pPr>
        <w:spacing w:before="120" w:after="0"/>
        <w:rPr>
          <w:rFonts w:ascii="Times New Roman" w:hAnsi="Times New Roman" w:cs="Times New Roman"/>
          <w:b/>
          <w:bCs/>
          <w:color w:val="00B050"/>
          <w:sz w:val="20"/>
          <w:szCs w:val="22"/>
          <w:lang w:val="en-GB"/>
        </w:rPr>
      </w:pPr>
      <w:r w:rsidRPr="009435B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1-0:</w:t>
      </w:r>
      <w:r w:rsidRPr="007D5101">
        <w:t xml:space="preserve"> </w:t>
      </w:r>
      <w:r w:rsidRPr="007D5101">
        <w:rPr>
          <w:rFonts w:ascii="Times New Roman" w:hAnsi="Times New Roman" w:cs="Times New Roman"/>
          <w:b/>
          <w:bCs/>
          <w:color w:val="00B050"/>
          <w:sz w:val="20"/>
          <w:szCs w:val="20"/>
          <w:lang w:val="en-GB"/>
        </w:rPr>
        <w:t xml:space="preserve">As the baseline, the mIAB-DU executes inter-donor migration while the co-located mIAB-MT stays connected to the same donor </w:t>
      </w:r>
      <w:r>
        <w:rPr>
          <w:rFonts w:ascii="Times New Roman" w:hAnsi="Times New Roman" w:cs="Times New Roman"/>
          <w:b/>
          <w:bCs/>
          <w:color w:val="00B050"/>
          <w:sz w:val="20"/>
          <w:szCs w:val="20"/>
          <w:lang w:val="en-GB"/>
        </w:rPr>
        <w:t xml:space="preserve">CU </w:t>
      </w:r>
      <w:r w:rsidRPr="007B2507">
        <w:rPr>
          <w:rFonts w:ascii="Times New Roman" w:hAnsi="Times New Roman" w:cs="Times New Roman"/>
          <w:b/>
          <w:bCs/>
          <w:color w:val="00B050"/>
          <w:sz w:val="20"/>
          <w:szCs w:val="20"/>
          <w:lang w:val="en-GB"/>
        </w:rPr>
        <w:t>before and after the mIAB-DU migration</w:t>
      </w:r>
      <w:r w:rsidRPr="007D5101">
        <w:rPr>
          <w:rFonts w:ascii="Times New Roman" w:hAnsi="Times New Roman" w:cs="Times New Roman"/>
          <w:b/>
          <w:bCs/>
          <w:color w:val="00B050"/>
          <w:sz w:val="20"/>
          <w:szCs w:val="20"/>
          <w:lang w:val="en-GB"/>
        </w:rPr>
        <w:t xml:space="preserve">. </w:t>
      </w:r>
      <w:r>
        <w:rPr>
          <w:rFonts w:ascii="Times New Roman" w:hAnsi="Times New Roman" w:cs="Times New Roman"/>
          <w:b/>
          <w:bCs/>
          <w:color w:val="00B050"/>
          <w:sz w:val="20"/>
          <w:szCs w:val="20"/>
          <w:lang w:val="en-GB"/>
        </w:rPr>
        <w:t>Further details are FFS.</w:t>
      </w:r>
    </w:p>
    <w:p w14:paraId="59D590D3" w14:textId="760325A6" w:rsidR="009270DA" w:rsidRPr="00143C38" w:rsidRDefault="009270DA" w:rsidP="009270DA">
      <w:pPr>
        <w:spacing w:before="120" w:after="0"/>
        <w:rPr>
          <w:rFonts w:ascii="Times New Roman" w:hAnsi="Times New Roman" w:cs="Times New Roman"/>
          <w:b/>
          <w:bCs/>
          <w:color w:val="00B050"/>
          <w:sz w:val="20"/>
          <w:szCs w:val="20"/>
        </w:rPr>
      </w:pPr>
      <w:r w:rsidRPr="00143C38">
        <w:rPr>
          <w:rFonts w:ascii="Times New Roman" w:hAnsi="Times New Roman" w:cs="Times New Roman"/>
          <w:b/>
          <w:bCs/>
          <w:color w:val="00B050"/>
          <w:sz w:val="20"/>
          <w:szCs w:val="20"/>
          <w:lang w:val="en-GB"/>
        </w:rPr>
        <w:t>Proposal 1-1: For partial migration of mIAB-node, t</w:t>
      </w:r>
      <w:r w:rsidRPr="00143C38">
        <w:rPr>
          <w:rFonts w:ascii="Times New Roman" w:hAnsi="Times New Roman" w:cs="Times New Roman"/>
          <w:b/>
          <w:bCs/>
          <w:color w:val="00B050"/>
          <w:sz w:val="20"/>
          <w:szCs w:val="20"/>
        </w:rPr>
        <w:t>he inter-donor HO of mIAB-MT is decided and triggered by the donor CU serving the mIAB-MT.</w:t>
      </w:r>
    </w:p>
    <w:p w14:paraId="03DAA546" w14:textId="77777777" w:rsidR="009270DA" w:rsidRDefault="009270DA" w:rsidP="009270DA">
      <w:pPr>
        <w:spacing w:before="120" w:after="0"/>
        <w:rPr>
          <w:rFonts w:ascii="Times New Roman" w:hAnsi="Times New Roman" w:cs="Times New Roman"/>
          <w:sz w:val="20"/>
          <w:szCs w:val="20"/>
        </w:rPr>
      </w:pPr>
      <w:r w:rsidRPr="00143C38">
        <w:rPr>
          <w:rFonts w:ascii="Times New Roman" w:hAnsi="Times New Roman" w:cs="Times New Roman"/>
          <w:b/>
          <w:bCs/>
          <w:color w:val="00B050"/>
          <w:sz w:val="20"/>
          <w:szCs w:val="20"/>
          <w:lang w:val="en-GB"/>
        </w:rPr>
        <w:t>Proposal 1-</w:t>
      </w:r>
      <w:r>
        <w:rPr>
          <w:rFonts w:ascii="Times New Roman" w:hAnsi="Times New Roman" w:cs="Times New Roman"/>
          <w:b/>
          <w:bCs/>
          <w:color w:val="00B050"/>
          <w:sz w:val="20"/>
          <w:szCs w:val="20"/>
          <w:lang w:val="en-GB"/>
        </w:rPr>
        <w:t>2</w:t>
      </w:r>
      <w:r w:rsidRPr="00143C38">
        <w:rPr>
          <w:rFonts w:ascii="Times New Roman" w:hAnsi="Times New Roman" w:cs="Times New Roman"/>
          <w:b/>
          <w:bCs/>
          <w:color w:val="00B050"/>
          <w:sz w:val="20"/>
          <w:szCs w:val="20"/>
          <w:lang w:val="en-GB"/>
        </w:rPr>
        <w:t>:</w:t>
      </w:r>
      <w:r w:rsidRPr="0064768E">
        <w:t xml:space="preserve"> </w:t>
      </w:r>
      <w:r w:rsidRPr="0064768E">
        <w:rPr>
          <w:rFonts w:ascii="Times New Roman" w:hAnsi="Times New Roman" w:cs="Times New Roman"/>
          <w:b/>
          <w:bCs/>
          <w:color w:val="00B050"/>
          <w:sz w:val="20"/>
          <w:szCs w:val="20"/>
          <w:lang w:val="en-GB"/>
        </w:rPr>
        <w:t>For inter-donor partial migration, the donor CU serving the mIAB-DU decides and triggers the inter-donor F1 transport migration for the mIAB-DU.</w:t>
      </w:r>
    </w:p>
    <w:p w14:paraId="22061E2C" w14:textId="77777777" w:rsidR="009270DA" w:rsidRPr="009270DA" w:rsidRDefault="009270DA" w:rsidP="009270DA">
      <w:pPr>
        <w:spacing w:before="120" w:after="0"/>
        <w:rPr>
          <w:rFonts w:ascii="Times New Roman" w:hAnsi="Times New Roman" w:cs="Times New Roman"/>
          <w:b/>
          <w:bCs/>
          <w:color w:val="00B050"/>
          <w:sz w:val="20"/>
          <w:szCs w:val="20"/>
          <w:lang w:val="en-GB"/>
        </w:rPr>
      </w:pPr>
      <w:r w:rsidRPr="009435BF">
        <w:rPr>
          <w:rFonts w:ascii="Times New Roman" w:hAnsi="Times New Roman" w:cs="Times New Roman"/>
          <w:b/>
          <w:bCs/>
          <w:color w:val="00B050"/>
          <w:sz w:val="20"/>
          <w:szCs w:val="20"/>
          <w:lang w:val="en-GB"/>
        </w:rPr>
        <w:t>Proposal 1-3: For inter-donor partial migration, the donor CU serving the mIAB-DU is informed about the mIAB-</w:t>
      </w:r>
      <w:r w:rsidRPr="009270DA">
        <w:rPr>
          <w:rFonts w:ascii="Times New Roman" w:hAnsi="Times New Roman" w:cs="Times New Roman"/>
          <w:b/>
          <w:bCs/>
          <w:color w:val="00B050"/>
          <w:sz w:val="20"/>
          <w:szCs w:val="20"/>
          <w:lang w:val="en-GB"/>
        </w:rPr>
        <w:t>MT HO</w:t>
      </w:r>
      <w:r w:rsidRPr="009270DA">
        <w:rPr>
          <w:rFonts w:ascii="Times New Roman" w:hAnsi="Times New Roman" w:cs="Times New Roman"/>
          <w:b/>
          <w:bCs/>
          <w:color w:val="00B050"/>
          <w:sz w:val="20"/>
          <w:szCs w:val="20"/>
        </w:rPr>
        <w:t>. FFS how the indication is delivered.</w:t>
      </w:r>
    </w:p>
    <w:p w14:paraId="28E41AE4" w14:textId="77777777" w:rsidR="009270DA" w:rsidRPr="009270DA" w:rsidRDefault="009270DA" w:rsidP="009270DA">
      <w:pPr>
        <w:spacing w:before="120" w:after="0"/>
        <w:rPr>
          <w:rFonts w:ascii="Times New Roman" w:hAnsi="Times New Roman" w:cs="Times New Roman"/>
          <w:b/>
          <w:bCs/>
          <w:color w:val="00B050"/>
          <w:sz w:val="20"/>
          <w:szCs w:val="20"/>
          <w:lang w:val="en-GB"/>
        </w:rPr>
      </w:pPr>
      <w:r w:rsidRPr="009270DA">
        <w:rPr>
          <w:rFonts w:ascii="Times New Roman" w:hAnsi="Times New Roman" w:cs="Times New Roman"/>
          <w:b/>
          <w:bCs/>
          <w:color w:val="00B050"/>
          <w:sz w:val="20"/>
          <w:szCs w:val="20"/>
          <w:lang w:val="en-GB"/>
        </w:rPr>
        <w:t>Proposal 1-4: The source donor CU for the mIAB-MT HO provides to the donor CU serving the mIAB-DU at least the:</w:t>
      </w:r>
    </w:p>
    <w:p w14:paraId="51E85E17" w14:textId="77777777" w:rsidR="009270DA" w:rsidRPr="009270DA" w:rsidRDefault="009270DA" w:rsidP="009270DA">
      <w:pPr>
        <w:pStyle w:val="ListParagraph"/>
        <w:numPr>
          <w:ilvl w:val="0"/>
          <w:numId w:val="12"/>
        </w:numPr>
        <w:spacing w:before="120" w:after="0"/>
        <w:rPr>
          <w:rFonts w:ascii="Times New Roman" w:hAnsi="Times New Roman" w:cs="Times New Roman"/>
          <w:color w:val="00B050"/>
        </w:rPr>
      </w:pPr>
      <w:r w:rsidRPr="009270DA">
        <w:rPr>
          <w:rFonts w:ascii="Times New Roman" w:hAnsi="Times New Roman" w:cs="Times New Roman"/>
          <w:b/>
          <w:bCs/>
          <w:color w:val="00B050"/>
        </w:rPr>
        <w:t>gNB ID of the target donor CU for the mIAB-MT HO.</w:t>
      </w:r>
    </w:p>
    <w:p w14:paraId="5A6E7A36" w14:textId="77777777" w:rsidR="009270DA" w:rsidRPr="009270DA" w:rsidRDefault="009270DA" w:rsidP="009270DA">
      <w:pPr>
        <w:pStyle w:val="ListParagraph"/>
        <w:numPr>
          <w:ilvl w:val="0"/>
          <w:numId w:val="12"/>
        </w:numPr>
        <w:spacing w:before="120" w:after="0"/>
        <w:rPr>
          <w:rFonts w:ascii="Times New Roman" w:hAnsi="Times New Roman" w:cs="Times New Roman"/>
          <w:color w:val="00B050"/>
        </w:rPr>
      </w:pPr>
      <w:r w:rsidRPr="009270DA">
        <w:rPr>
          <w:rFonts w:ascii="Times New Roman" w:hAnsi="Times New Roman" w:cs="Times New Roman"/>
          <w:b/>
          <w:bCs/>
          <w:color w:val="00B050"/>
        </w:rPr>
        <w:t>ID(s) of the mIAB-MT.</w:t>
      </w:r>
    </w:p>
    <w:p w14:paraId="5B534BFF" w14:textId="77777777" w:rsidR="009270DA" w:rsidRPr="009270DA" w:rsidRDefault="009270DA" w:rsidP="009270DA">
      <w:pPr>
        <w:pStyle w:val="ListParagraph"/>
        <w:numPr>
          <w:ilvl w:val="0"/>
          <w:numId w:val="12"/>
        </w:numPr>
        <w:spacing w:before="120" w:after="0"/>
        <w:rPr>
          <w:rFonts w:ascii="Times New Roman" w:hAnsi="Times New Roman" w:cs="Times New Roman"/>
          <w:color w:val="00B050"/>
        </w:rPr>
      </w:pPr>
      <w:r w:rsidRPr="009270DA">
        <w:rPr>
          <w:rFonts w:ascii="Times New Roman" w:hAnsi="Times New Roman" w:cs="Times New Roman"/>
          <w:b/>
          <w:bCs/>
          <w:color w:val="00B050"/>
        </w:rPr>
        <w:t>(WA) the TNL address of the target donor CU for the mIAB-MT HO.</w:t>
      </w:r>
    </w:p>
    <w:p w14:paraId="6D66D451" w14:textId="77777777" w:rsidR="009270DA" w:rsidRDefault="009270DA" w:rsidP="009270DA">
      <w:pPr>
        <w:spacing w:before="120" w:after="0"/>
        <w:rPr>
          <w:rFonts w:ascii="Times New Roman" w:hAnsi="Times New Roman" w:cs="Times New Roman"/>
          <w:sz w:val="20"/>
          <w:szCs w:val="22"/>
          <w:lang w:val="en-GB"/>
        </w:rPr>
      </w:pPr>
      <w:r w:rsidRPr="009270DA">
        <w:rPr>
          <w:rFonts w:ascii="Times New Roman" w:hAnsi="Times New Roman" w:cs="Times New Roman"/>
          <w:b/>
          <w:bCs/>
          <w:color w:val="00B050"/>
          <w:sz w:val="20"/>
          <w:szCs w:val="20"/>
          <w:lang w:val="en-GB"/>
        </w:rPr>
        <w:t>Proposal 1-5</w:t>
      </w:r>
      <w:r>
        <w:rPr>
          <w:rFonts w:ascii="Times New Roman" w:hAnsi="Times New Roman" w:cs="Times New Roman"/>
          <w:b/>
          <w:bCs/>
          <w:color w:val="00B050"/>
          <w:sz w:val="20"/>
          <w:szCs w:val="20"/>
          <w:lang w:val="en-GB"/>
        </w:rPr>
        <w:t xml:space="preserve">: For </w:t>
      </w:r>
      <w:r w:rsidRPr="00E74E34">
        <w:rPr>
          <w:rFonts w:ascii="Times New Roman" w:hAnsi="Times New Roman" w:cs="Times New Roman"/>
          <w:b/>
          <w:bCs/>
          <w:color w:val="00B050"/>
          <w:sz w:val="20"/>
          <w:szCs w:val="20"/>
          <w:lang w:val="en-GB"/>
        </w:rPr>
        <w:t>partial migration of mIAB-node, the donor CU serving the mIAB-DU and the target donor CU for the mIAB-MT HO can directly exchange Xn IAB Transport Migration messages, in case direct Xn connectivity exists (or is established) between the two donor CUs</w:t>
      </w:r>
      <w:r>
        <w:rPr>
          <w:rFonts w:ascii="Times New Roman" w:hAnsi="Times New Roman" w:cs="Times New Roman"/>
          <w:b/>
          <w:bCs/>
          <w:color w:val="00B050"/>
          <w:sz w:val="20"/>
          <w:szCs w:val="20"/>
          <w:lang w:val="en-GB"/>
        </w:rPr>
        <w:t>.</w:t>
      </w:r>
    </w:p>
    <w:p w14:paraId="33543687" w14:textId="77777777" w:rsidR="009270DA" w:rsidRDefault="009270DA" w:rsidP="009270DA">
      <w:pPr>
        <w:spacing w:before="120" w:after="0"/>
        <w:rPr>
          <w:rFonts w:ascii="Times New Roman" w:hAnsi="Times New Roman" w:cs="Times New Roman"/>
          <w:b/>
          <w:bCs/>
          <w:sz w:val="20"/>
          <w:szCs w:val="20"/>
          <w:lang w:val="en-GB"/>
        </w:rPr>
      </w:pPr>
      <w:r w:rsidRPr="009435B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2-1: Focus first on the scenarios where Xn and IP connectivity are available between the source and target donors for IAB-MT HO and mIAB-DU migration.</w:t>
      </w:r>
    </w:p>
    <w:p w14:paraId="1F8C77C8" w14:textId="77777777" w:rsidR="009270DA" w:rsidRDefault="009270DA" w:rsidP="009270DA">
      <w:pPr>
        <w:spacing w:before="120" w:after="0"/>
        <w:rPr>
          <w:rFonts w:ascii="Times New Roman" w:hAnsi="Times New Roman" w:cs="Times New Roman"/>
          <w:b/>
          <w:bCs/>
          <w:sz w:val="20"/>
          <w:szCs w:val="20"/>
          <w:lang w:val="en-GB"/>
        </w:rPr>
      </w:pPr>
      <w:r w:rsidRPr="009435B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2-2: </w:t>
      </w:r>
      <w:r w:rsidRPr="006C10D4">
        <w:rPr>
          <w:rFonts w:ascii="Times New Roman" w:hAnsi="Times New Roman" w:cs="Times New Roman"/>
          <w:b/>
          <w:bCs/>
          <w:color w:val="00B050"/>
          <w:sz w:val="20"/>
          <w:szCs w:val="20"/>
          <w:lang w:val="en-GB"/>
        </w:rPr>
        <w:t>Support mIAB-node mobility over NGAP.</w:t>
      </w:r>
    </w:p>
    <w:p w14:paraId="10BA9AFA" w14:textId="77777777" w:rsidR="009270DA" w:rsidRDefault="009270DA" w:rsidP="009270DA">
      <w:pPr>
        <w:spacing w:before="120" w:after="0"/>
        <w:rPr>
          <w:rFonts w:ascii="Times New Roman" w:hAnsi="Times New Roman" w:cs="Times New Roman"/>
          <w:sz w:val="20"/>
          <w:szCs w:val="22"/>
          <w:lang w:val="en-GB"/>
        </w:rPr>
      </w:pPr>
      <w:r w:rsidRPr="009435B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3-1: To hand over the UEs between the logical mIAB-DUs, </w:t>
      </w:r>
      <w:r w:rsidRPr="00E22238">
        <w:rPr>
          <w:rFonts w:ascii="Times New Roman" w:hAnsi="Times New Roman" w:cs="Times New Roman"/>
          <w:b/>
          <w:bCs/>
          <w:color w:val="00B050"/>
          <w:sz w:val="20"/>
          <w:szCs w:val="20"/>
          <w:lang w:val="en-GB"/>
        </w:rPr>
        <w:t>the source donor CU for mIAB-DU migration should be notified about the cell IDs served by the secon</w:t>
      </w:r>
      <w:r>
        <w:rPr>
          <w:rFonts w:ascii="Times New Roman" w:hAnsi="Times New Roman" w:cs="Times New Roman"/>
          <w:b/>
          <w:bCs/>
          <w:color w:val="00B050"/>
          <w:sz w:val="20"/>
          <w:szCs w:val="20"/>
          <w:lang w:val="en-GB"/>
        </w:rPr>
        <w:t>d (target)</w:t>
      </w:r>
      <w:r w:rsidRPr="00E22238">
        <w:rPr>
          <w:rFonts w:ascii="Times New Roman" w:hAnsi="Times New Roman" w:cs="Times New Roman"/>
          <w:b/>
          <w:bCs/>
          <w:color w:val="00B050"/>
          <w:sz w:val="20"/>
          <w:szCs w:val="20"/>
          <w:lang w:val="en-GB"/>
        </w:rPr>
        <w:t xml:space="preserve"> logical mIAB-DU.</w:t>
      </w:r>
    </w:p>
    <w:p w14:paraId="0895354D" w14:textId="6458EB6B" w:rsidR="009270DA" w:rsidRDefault="009270DA" w:rsidP="009270DA">
      <w:pPr>
        <w:spacing w:before="120" w:after="0"/>
        <w:rPr>
          <w:rFonts w:ascii="Times New Roman" w:hAnsi="Times New Roman" w:cs="Times New Roman"/>
          <w:sz w:val="20"/>
          <w:szCs w:val="22"/>
          <w:lang w:val="en-GB"/>
        </w:rPr>
      </w:pPr>
      <w:r w:rsidRPr="009435B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3-2: T</w:t>
      </w:r>
      <w:r w:rsidRPr="00EB6C30">
        <w:rPr>
          <w:rFonts w:ascii="Times New Roman" w:hAnsi="Times New Roman" w:cs="Times New Roman"/>
          <w:b/>
          <w:bCs/>
          <w:color w:val="00B050"/>
          <w:sz w:val="20"/>
          <w:szCs w:val="20"/>
          <w:lang w:val="en-GB"/>
        </w:rPr>
        <w:t>he source donor CU for mIAB-DU migration</w:t>
      </w:r>
      <w:r>
        <w:rPr>
          <w:rFonts w:ascii="Times New Roman" w:hAnsi="Times New Roman" w:cs="Times New Roman"/>
          <w:b/>
          <w:bCs/>
          <w:color w:val="00B050"/>
          <w:sz w:val="20"/>
          <w:szCs w:val="20"/>
          <w:lang w:val="en-GB"/>
        </w:rPr>
        <w:t xml:space="preserve"> should be implicitly or explicitly informed</w:t>
      </w:r>
      <w:r w:rsidRPr="00EB6C30">
        <w:rPr>
          <w:rFonts w:ascii="Times New Roman" w:hAnsi="Times New Roman" w:cs="Times New Roman"/>
          <w:b/>
          <w:bCs/>
          <w:color w:val="00B050"/>
          <w:sz w:val="20"/>
          <w:szCs w:val="20"/>
          <w:lang w:val="en-GB"/>
        </w:rPr>
        <w:t xml:space="preserve"> that the second logical mIAB-DU has successfully established an F1 connection towards the target </w:t>
      </w:r>
      <w:r>
        <w:rPr>
          <w:rFonts w:ascii="Times New Roman" w:hAnsi="Times New Roman" w:cs="Times New Roman"/>
          <w:b/>
          <w:bCs/>
          <w:color w:val="00B050"/>
          <w:sz w:val="20"/>
          <w:szCs w:val="20"/>
          <w:lang w:val="en-GB"/>
        </w:rPr>
        <w:t xml:space="preserve">CU. Details are FFS. </w:t>
      </w:r>
    </w:p>
    <w:p w14:paraId="58617E14" w14:textId="77777777" w:rsidR="00A3488F" w:rsidRDefault="00A3488F">
      <w:pPr>
        <w:spacing w:before="120" w:after="0"/>
        <w:rPr>
          <w:rFonts w:ascii="Times New Roman" w:hAnsi="Times New Roman" w:cs="Times New Roman"/>
          <w:b/>
          <w:bCs/>
          <w:color w:val="00B050"/>
          <w:sz w:val="20"/>
          <w:szCs w:val="22"/>
          <w:lang w:val="en-GB"/>
        </w:rPr>
      </w:pPr>
    </w:p>
    <w:p w14:paraId="58617E15" w14:textId="77777777" w:rsidR="00A3488F" w:rsidRDefault="00D4377D">
      <w:pPr>
        <w:pStyle w:val="Heading1"/>
        <w:spacing w:before="120" w:after="0"/>
        <w:rPr>
          <w:rFonts w:ascii="Arial" w:hAnsi="Arial" w:cs="Arial"/>
          <w:lang w:val="en-GB"/>
        </w:rPr>
      </w:pPr>
      <w:r>
        <w:rPr>
          <w:rFonts w:ascii="Arial" w:hAnsi="Arial" w:cs="Arial"/>
          <w:lang w:val="en-GB"/>
        </w:rPr>
        <w:t>Discussion</w:t>
      </w:r>
    </w:p>
    <w:p w14:paraId="58617E16" w14:textId="77777777" w:rsidR="00A3488F" w:rsidRDefault="00D4377D">
      <w:pPr>
        <w:rPr>
          <w:rFonts w:ascii="Times New Roman" w:hAnsi="Times New Roman" w:cs="Times New Roman"/>
          <w:sz w:val="20"/>
          <w:szCs w:val="22"/>
          <w:lang w:val="en-GB"/>
        </w:rPr>
      </w:pPr>
      <w:r>
        <w:rPr>
          <w:rFonts w:ascii="Times New Roman" w:hAnsi="Times New Roman" w:cs="Times New Roman"/>
          <w:sz w:val="20"/>
          <w:szCs w:val="22"/>
          <w:lang w:val="en-GB"/>
        </w:rPr>
        <w:t>We continue discuss the general principles of mIAB mobility procedure and the aspects of mIAB-DU HO that do not directly depend on these general principles.</w:t>
      </w:r>
    </w:p>
    <w:p w14:paraId="58617E17" w14:textId="77777777" w:rsidR="00A3488F" w:rsidRDefault="00D4377D">
      <w:pPr>
        <w:pStyle w:val="Heading2"/>
        <w:rPr>
          <w:rFonts w:ascii="Arial" w:hAnsi="Arial" w:cs="Arial"/>
        </w:rPr>
      </w:pPr>
      <w:r>
        <w:rPr>
          <w:rFonts w:ascii="Arial" w:hAnsi="Arial" w:cs="Arial"/>
        </w:rPr>
        <w:lastRenderedPageBreak/>
        <w:t>Execution of multiple consecutive partial migrations</w:t>
      </w:r>
    </w:p>
    <w:p w14:paraId="58617E18" w14:textId="77777777" w:rsidR="00A3488F" w:rsidRDefault="00D4377D">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RAN3#117-e agreements allow for consecutive partial migrations of an mIAB-node, with the Rel-17 solution as the baseline. In this case, the mIAB-DU does not change its donor-CU, while the mIAB-MT does. It needs to be discussed:</w:t>
      </w:r>
    </w:p>
    <w:p w14:paraId="58617E19" w14:textId="77777777" w:rsidR="00A3488F" w:rsidRDefault="00D4377D">
      <w:pPr>
        <w:pStyle w:val="ListParagraph"/>
        <w:numPr>
          <w:ilvl w:val="0"/>
          <w:numId w:val="5"/>
        </w:numPr>
        <w:spacing w:before="120" w:after="0"/>
        <w:jc w:val="left"/>
        <w:rPr>
          <w:rFonts w:ascii="Times New Roman" w:hAnsi="Times New Roman" w:cs="Times New Roman"/>
          <w:szCs w:val="22"/>
        </w:rPr>
      </w:pPr>
      <w:r>
        <w:rPr>
          <w:rFonts w:ascii="Times New Roman" w:hAnsi="Times New Roman" w:cs="Times New Roman"/>
          <w:szCs w:val="22"/>
        </w:rPr>
        <w:t>Which entity decides upon triggers the inter-donor HO of mIAB-MT.</w:t>
      </w:r>
    </w:p>
    <w:p w14:paraId="58617E1A" w14:textId="77777777" w:rsidR="00A3488F" w:rsidRDefault="00D4377D">
      <w:pPr>
        <w:pStyle w:val="ListParagraph"/>
        <w:numPr>
          <w:ilvl w:val="0"/>
          <w:numId w:val="5"/>
        </w:numPr>
        <w:spacing w:before="120" w:after="0"/>
        <w:jc w:val="left"/>
        <w:rPr>
          <w:rFonts w:ascii="Times New Roman" w:hAnsi="Times New Roman" w:cs="Times New Roman"/>
          <w:szCs w:val="22"/>
        </w:rPr>
      </w:pPr>
      <w:r>
        <w:rPr>
          <w:rFonts w:ascii="Times New Roman" w:hAnsi="Times New Roman" w:cs="Times New Roman"/>
          <w:szCs w:val="22"/>
        </w:rPr>
        <w:t>Which entity triggers the inter-donor F1 transport migration for the mIAB-DU.</w:t>
      </w:r>
    </w:p>
    <w:p w14:paraId="58617E1B" w14:textId="77777777" w:rsidR="00A3488F" w:rsidRDefault="00D4377D">
      <w:pPr>
        <w:spacing w:before="120" w:after="0"/>
        <w:rPr>
          <w:rFonts w:ascii="Times New Roman" w:hAnsi="Times New Roman" w:cs="Times New Roman"/>
          <w:b/>
          <w:bCs/>
          <w:color w:val="000000"/>
          <w:sz w:val="20"/>
          <w:szCs w:val="20"/>
          <w:lang w:val="en-GB"/>
        </w:rPr>
      </w:pPr>
      <w:r>
        <w:rPr>
          <w:rFonts w:ascii="Times New Roman" w:hAnsi="Times New Roman" w:cs="Times New Roman"/>
          <w:sz w:val="20"/>
          <w:szCs w:val="20"/>
        </w:rPr>
        <w:t xml:space="preserve">The issues were discussed in papers </w:t>
      </w:r>
      <w:r>
        <w:rPr>
          <w:rFonts w:ascii="Times New Roman" w:hAnsi="Times New Roman" w:cs="Times New Roman"/>
          <w:color w:val="000000"/>
          <w:sz w:val="20"/>
          <w:szCs w:val="20"/>
        </w:rPr>
        <w:t xml:space="preserve">[Xmi5752], </w:t>
      </w:r>
      <w:r>
        <w:rPr>
          <w:rFonts w:ascii="Times New Roman" w:hAnsi="Times New Roman" w:cs="Times New Roman"/>
          <w:color w:val="000000"/>
          <w:sz w:val="20"/>
          <w:szCs w:val="20"/>
          <w:lang w:val="en-GB"/>
        </w:rPr>
        <w:t>[ZTE5439] and [Hua5680].</w:t>
      </w:r>
    </w:p>
    <w:p w14:paraId="58617E1C" w14:textId="42E713F0" w:rsidR="00A3488F" w:rsidRDefault="00D4377D">
      <w:pPr>
        <w:spacing w:before="120" w:after="0"/>
        <w:rPr>
          <w:rFonts w:ascii="Times New Roman" w:hAnsi="Times New Roman" w:cs="Times New Roman"/>
          <w:b/>
          <w:bCs/>
          <w:sz w:val="20"/>
          <w:szCs w:val="20"/>
        </w:rPr>
      </w:pPr>
      <w:r>
        <w:rPr>
          <w:rFonts w:ascii="Times New Roman" w:hAnsi="Times New Roman" w:cs="Times New Roman"/>
          <w:b/>
          <w:bCs/>
          <w:color w:val="000000"/>
          <w:sz w:val="20"/>
          <w:szCs w:val="20"/>
          <w:lang w:val="en-GB"/>
        </w:rPr>
        <w:t>Potential proposal 1-1: For partial migration, t</w:t>
      </w:r>
      <w:r>
        <w:rPr>
          <w:rFonts w:ascii="Times New Roman" w:hAnsi="Times New Roman" w:cs="Times New Roman"/>
          <w:b/>
          <w:bCs/>
          <w:sz w:val="20"/>
          <w:szCs w:val="20"/>
        </w:rPr>
        <w:t xml:space="preserve">he </w:t>
      </w:r>
      <w:r>
        <w:rPr>
          <w:rFonts w:ascii="Times New Roman" w:hAnsi="Times New Roman" w:cs="Times New Roman"/>
          <w:b/>
          <w:bCs/>
          <w:sz w:val="20"/>
          <w:szCs w:val="20"/>
          <w:u w:val="single"/>
        </w:rPr>
        <w:t>inter-donor HO of mIAB-MT</w:t>
      </w:r>
      <w:r>
        <w:rPr>
          <w:rFonts w:ascii="Times New Roman" w:hAnsi="Times New Roman" w:cs="Times New Roman"/>
          <w:b/>
          <w:bCs/>
          <w:sz w:val="20"/>
          <w:szCs w:val="20"/>
        </w:rPr>
        <w:t xml:space="preserve"> is decided and triggered by </w:t>
      </w:r>
      <w:r>
        <w:rPr>
          <w:rFonts w:ascii="Times New Roman" w:hAnsi="Times New Roman" w:cs="Times New Roman"/>
          <w:b/>
          <w:bCs/>
          <w:sz w:val="20"/>
          <w:szCs w:val="20"/>
          <w:u w:val="single"/>
        </w:rPr>
        <w:t>the donor CU serving the mIAB-MT</w:t>
      </w:r>
      <w:r>
        <w:rPr>
          <w:rFonts w:ascii="Times New Roman" w:hAnsi="Times New Roman" w:cs="Times New Roman"/>
          <w:b/>
          <w:bCs/>
          <w:sz w:val="20"/>
          <w:szCs w:val="20"/>
        </w:rPr>
        <w:t>.</w:t>
      </w:r>
    </w:p>
    <w:p w14:paraId="58617E1D" w14:textId="77777777" w:rsidR="00A3488F" w:rsidRDefault="00D4377D">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Q1-1: Do you agree to Potential proposal 1-1?</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A3488F" w14:paraId="58617E21" w14:textId="77777777">
        <w:trPr>
          <w:trHeight w:val="325"/>
        </w:trPr>
        <w:tc>
          <w:tcPr>
            <w:tcW w:w="1378" w:type="dxa"/>
          </w:tcPr>
          <w:p w14:paraId="58617E1E"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8617E1F"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8617E20"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3488F" w14:paraId="58617E25" w14:textId="77777777">
        <w:trPr>
          <w:trHeight w:val="357"/>
        </w:trPr>
        <w:tc>
          <w:tcPr>
            <w:tcW w:w="1378" w:type="dxa"/>
          </w:tcPr>
          <w:p w14:paraId="58617E22"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58617E23"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58617E24" w14:textId="77777777" w:rsidR="00A3488F" w:rsidRDefault="00D4377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CU serving the mIAB-MT knows best when it is time to hand over the mIAB-MT.</w:t>
            </w:r>
          </w:p>
        </w:tc>
      </w:tr>
      <w:tr w:rsidR="00A3488F" w14:paraId="58617E29" w14:textId="77777777">
        <w:trPr>
          <w:trHeight w:val="342"/>
        </w:trPr>
        <w:tc>
          <w:tcPr>
            <w:tcW w:w="1378" w:type="dxa"/>
          </w:tcPr>
          <w:p w14:paraId="58617E26"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58617E27"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Partially yes</w:t>
            </w:r>
          </w:p>
        </w:tc>
        <w:tc>
          <w:tcPr>
            <w:tcW w:w="7200" w:type="dxa"/>
          </w:tcPr>
          <w:p w14:paraId="58617E28" w14:textId="77BC52CB"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agree that the HO of mobile IAB-MT is initiated by the source donor CU serves the IAB-MT, </w:t>
            </w:r>
            <w:r w:rsidRPr="00AD3752">
              <w:rPr>
                <w:rFonts w:ascii="Times New Roman" w:eastAsiaTheme="minorEastAsia" w:hAnsi="Times New Roman" w:cs="Times New Roman"/>
                <w:sz w:val="20"/>
                <w:szCs w:val="20"/>
                <w:highlight w:val="yellow"/>
                <w:lang w:val="en-GB" w:eastAsia="zh-CN"/>
              </w:rPr>
              <w:t xml:space="preserve">but for the decision of </w:t>
            </w:r>
            <w:commentRangeStart w:id="4"/>
            <w:r w:rsidRPr="00AD3752">
              <w:rPr>
                <w:rFonts w:ascii="Times New Roman" w:eastAsiaTheme="minorEastAsia" w:hAnsi="Times New Roman" w:cs="Times New Roman"/>
                <w:sz w:val="20"/>
                <w:szCs w:val="20"/>
                <w:highlight w:val="yellow"/>
                <w:lang w:val="en-GB" w:eastAsia="zh-CN"/>
              </w:rPr>
              <w:t>the</w:t>
            </w:r>
            <w:commentRangeEnd w:id="4"/>
            <w:r w:rsidR="00E9113C">
              <w:rPr>
                <w:rStyle w:val="CommentReference"/>
                <w:rFonts w:ascii="Calibri Light" w:hAnsi="Calibri Light"/>
                <w:lang w:val="en-GB" w:eastAsia="zh-CN"/>
              </w:rPr>
              <w:commentReference w:id="4"/>
            </w:r>
            <w:r w:rsidRPr="00AD3752">
              <w:rPr>
                <w:rFonts w:ascii="Times New Roman" w:eastAsiaTheme="minorEastAsia" w:hAnsi="Times New Roman" w:cs="Times New Roman"/>
                <w:sz w:val="20"/>
                <w:szCs w:val="20"/>
                <w:highlight w:val="yellow"/>
                <w:lang w:val="en-GB" w:eastAsia="zh-CN"/>
              </w:rPr>
              <w:t xml:space="preserve"> target donor, maybe the F1 terminating donor should also be involved</w:t>
            </w:r>
            <w:r>
              <w:rPr>
                <w:rFonts w:ascii="Times New Roman" w:eastAsiaTheme="minorEastAsia" w:hAnsi="Times New Roman" w:cs="Times New Roman"/>
                <w:sz w:val="20"/>
                <w:szCs w:val="20"/>
                <w:lang w:val="en-GB" w:eastAsia="zh-CN"/>
              </w:rPr>
              <w:t xml:space="preserve">, since it is better to consider the following aspects when select the target donor: </w:t>
            </w:r>
            <w:r w:rsidRPr="00E9113C">
              <w:rPr>
                <w:rFonts w:ascii="Times New Roman" w:eastAsiaTheme="minorEastAsia" w:hAnsi="Times New Roman" w:cs="Times New Roman"/>
                <w:sz w:val="20"/>
                <w:szCs w:val="20"/>
                <w:highlight w:val="yellow"/>
                <w:lang w:val="en-GB" w:eastAsia="zh-CN"/>
              </w:rPr>
              <w:t>Xn interface</w:t>
            </w:r>
            <w:r>
              <w:rPr>
                <w:rFonts w:ascii="Times New Roman" w:eastAsiaTheme="minorEastAsia" w:hAnsi="Times New Roman" w:cs="Times New Roman"/>
                <w:sz w:val="20"/>
                <w:szCs w:val="20"/>
                <w:lang w:val="en-GB" w:eastAsia="zh-CN"/>
              </w:rPr>
              <w:t xml:space="preserve"> between the target donor and the F1 terminating donor, </w:t>
            </w:r>
            <w:r w:rsidRPr="00E9113C">
              <w:rPr>
                <w:rFonts w:ascii="Times New Roman" w:eastAsiaTheme="minorEastAsia" w:hAnsi="Times New Roman" w:cs="Times New Roman"/>
                <w:sz w:val="20"/>
                <w:szCs w:val="20"/>
                <w:highlight w:val="yellow"/>
                <w:lang w:val="en-GB" w:eastAsia="zh-CN"/>
              </w:rPr>
              <w:t>whether there is IP route</w:t>
            </w:r>
            <w:r>
              <w:rPr>
                <w:rFonts w:ascii="Times New Roman" w:eastAsiaTheme="minorEastAsia" w:hAnsi="Times New Roman" w:cs="Times New Roman"/>
                <w:sz w:val="20"/>
                <w:szCs w:val="20"/>
                <w:lang w:val="en-GB" w:eastAsia="zh-CN"/>
              </w:rPr>
              <w:t xml:space="preserve"> between the F1 terminating CU and the target donor DU, </w:t>
            </w:r>
            <w:r w:rsidRPr="00E9113C">
              <w:rPr>
                <w:rFonts w:ascii="Times New Roman" w:eastAsiaTheme="minorEastAsia" w:hAnsi="Times New Roman" w:cs="Times New Roman"/>
                <w:sz w:val="20"/>
                <w:szCs w:val="20"/>
                <w:highlight w:val="yellow"/>
                <w:lang w:val="en-GB" w:eastAsia="zh-CN"/>
              </w:rPr>
              <w:t>whether the target donor is able to accept all the traffics</w:t>
            </w:r>
            <w:r>
              <w:rPr>
                <w:rFonts w:ascii="Times New Roman" w:eastAsiaTheme="minorEastAsia" w:hAnsi="Times New Roman" w:cs="Times New Roman"/>
                <w:sz w:val="20"/>
                <w:szCs w:val="20"/>
                <w:lang w:val="en-GB" w:eastAsia="zh-CN"/>
              </w:rPr>
              <w:t xml:space="preserve"> served by the mobile IAB-node, etc.   </w:t>
            </w:r>
          </w:p>
        </w:tc>
      </w:tr>
      <w:tr w:rsidR="00A3488F" w14:paraId="58617E2D" w14:textId="77777777">
        <w:trPr>
          <w:trHeight w:val="325"/>
        </w:trPr>
        <w:tc>
          <w:tcPr>
            <w:tcW w:w="1378" w:type="dxa"/>
          </w:tcPr>
          <w:p w14:paraId="58617E2A"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58617E2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7E2C"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Measurement report of mIAB-MT is only available at its serving donor-CU.</w:t>
            </w:r>
          </w:p>
        </w:tc>
      </w:tr>
      <w:tr w:rsidR="00A3488F" w14:paraId="58617E31" w14:textId="77777777">
        <w:trPr>
          <w:trHeight w:val="342"/>
        </w:trPr>
        <w:tc>
          <w:tcPr>
            <w:tcW w:w="1378" w:type="dxa"/>
          </w:tcPr>
          <w:p w14:paraId="58617E2E"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Fujitsu</w:t>
            </w:r>
          </w:p>
        </w:tc>
        <w:tc>
          <w:tcPr>
            <w:tcW w:w="1209" w:type="dxa"/>
          </w:tcPr>
          <w:p w14:paraId="58617E2F"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58617E30"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This is aligned with legacy HO procedure.</w:t>
            </w:r>
          </w:p>
        </w:tc>
      </w:tr>
      <w:tr w:rsidR="00A3488F" w14:paraId="58617E35" w14:textId="77777777">
        <w:trPr>
          <w:trHeight w:val="325"/>
        </w:trPr>
        <w:tc>
          <w:tcPr>
            <w:tcW w:w="1378" w:type="dxa"/>
          </w:tcPr>
          <w:p w14:paraId="58617E32" w14:textId="77777777" w:rsidR="00A3488F" w:rsidRDefault="00D4377D">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1209" w:type="dxa"/>
          </w:tcPr>
          <w:p w14:paraId="58617E33"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7E34"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7E39" w14:textId="77777777">
        <w:trPr>
          <w:trHeight w:val="342"/>
        </w:trPr>
        <w:tc>
          <w:tcPr>
            <w:tcW w:w="1378" w:type="dxa"/>
          </w:tcPr>
          <w:p w14:paraId="58617E36"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58617E37"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7E38"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Agree with Qualcomm</w:t>
            </w:r>
          </w:p>
        </w:tc>
      </w:tr>
      <w:tr w:rsidR="00A3488F" w14:paraId="58617E3D" w14:textId="77777777">
        <w:trPr>
          <w:trHeight w:val="342"/>
        </w:trPr>
        <w:tc>
          <w:tcPr>
            <w:tcW w:w="1378" w:type="dxa"/>
          </w:tcPr>
          <w:p w14:paraId="58617E3A"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58617E3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58617E3C"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As legacy, the HO of mobile IAB-MT is decided and triggered by the IAB-donor-CU </w:t>
            </w:r>
            <w:bookmarkStart w:id="5" w:name="_Hlk116388527"/>
            <w:r>
              <w:rPr>
                <w:rFonts w:ascii="Times New Roman" w:eastAsiaTheme="minorEastAsia" w:hAnsi="Times New Roman" w:cs="Times New Roman"/>
                <w:sz w:val="20"/>
                <w:szCs w:val="20"/>
                <w:lang w:val="en-GB" w:eastAsia="zh-CN"/>
              </w:rPr>
              <w:t>which has the RRC connection to mobile IAB-MT</w:t>
            </w:r>
            <w:bookmarkEnd w:id="5"/>
            <w:r>
              <w:rPr>
                <w:rFonts w:ascii="Times New Roman" w:eastAsiaTheme="minorEastAsia" w:hAnsi="Times New Roman" w:cs="Times New Roman"/>
                <w:sz w:val="20"/>
                <w:szCs w:val="20"/>
                <w:lang w:val="en-GB" w:eastAsia="zh-CN"/>
              </w:rPr>
              <w:t>.</w:t>
            </w:r>
          </w:p>
        </w:tc>
      </w:tr>
      <w:tr w:rsidR="00A3488F" w14:paraId="58617E43" w14:textId="77777777">
        <w:trPr>
          <w:trHeight w:val="342"/>
        </w:trPr>
        <w:tc>
          <w:tcPr>
            <w:tcW w:w="1378" w:type="dxa"/>
          </w:tcPr>
          <w:p w14:paraId="58617E3E"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w:t>
            </w:r>
          </w:p>
        </w:tc>
        <w:tc>
          <w:tcPr>
            <w:tcW w:w="1209" w:type="dxa"/>
          </w:tcPr>
          <w:p w14:paraId="58617E3F"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See comments</w:t>
            </w:r>
          </w:p>
        </w:tc>
        <w:tc>
          <w:tcPr>
            <w:tcW w:w="7200" w:type="dxa"/>
          </w:tcPr>
          <w:p w14:paraId="58617E40" w14:textId="77777777" w:rsidR="00A3488F" w:rsidRDefault="00D4377D">
            <w:pPr>
              <w:spacing w:before="120" w:after="0"/>
              <w:rPr>
                <w:rFonts w:ascii="Times New Roman" w:eastAsiaTheme="minorEastAsia" w:hAnsi="Times New Roman" w:cs="Times New Roman"/>
                <w:b/>
                <w:sz w:val="20"/>
                <w:szCs w:val="20"/>
                <w:lang w:eastAsia="zh-CN"/>
              </w:rPr>
            </w:pPr>
            <w:r>
              <w:rPr>
                <w:rFonts w:ascii="Times New Roman" w:eastAsiaTheme="minorEastAsia" w:hAnsi="Times New Roman" w:cs="Times New Roman"/>
                <w:sz w:val="20"/>
                <w:szCs w:val="20"/>
                <w:lang w:val="en-GB" w:eastAsia="zh-CN"/>
              </w:rPr>
              <w:t xml:space="preserve">We understand the intention of the proposal, the donor-CU serving the IAB-MT can receive the MR from IAB-MT and has the knowledge of the neighbours to decide the target donor-CU, </w:t>
            </w:r>
            <w:r>
              <w:rPr>
                <w:rFonts w:ascii="Times New Roman" w:eastAsiaTheme="minorEastAsia" w:hAnsi="Times New Roman" w:cs="Times New Roman"/>
                <w:b/>
                <w:sz w:val="20"/>
                <w:szCs w:val="20"/>
                <w:lang w:val="en-GB" w:eastAsia="zh-CN"/>
              </w:rPr>
              <w:t>but</w:t>
            </w:r>
            <w:r>
              <w:rPr>
                <w:rFonts w:ascii="Times New Roman" w:eastAsiaTheme="minorEastAsia" w:hAnsi="Times New Roman" w:cs="Times New Roman"/>
                <w:b/>
                <w:sz w:val="20"/>
                <w:szCs w:val="20"/>
                <w:lang w:eastAsia="zh-CN"/>
              </w:rPr>
              <w:t xml:space="preserve"> we feel it’s hard to agree anything for the sub-procedure of migration right now if </w:t>
            </w:r>
            <w:r w:rsidRPr="00421CDE">
              <w:rPr>
                <w:rFonts w:ascii="Times New Roman" w:eastAsiaTheme="minorEastAsia" w:hAnsi="Times New Roman" w:cs="Times New Roman"/>
                <w:b/>
                <w:sz w:val="20"/>
                <w:szCs w:val="20"/>
                <w:highlight w:val="yellow"/>
                <w:lang w:eastAsia="zh-CN"/>
              </w:rPr>
              <w:t>we don’t have a whole picture in mind</w:t>
            </w:r>
            <w:r>
              <w:rPr>
                <w:rFonts w:ascii="Times New Roman" w:eastAsiaTheme="minorEastAsia" w:hAnsi="Times New Roman" w:cs="Times New Roman"/>
                <w:b/>
                <w:sz w:val="20"/>
                <w:szCs w:val="20"/>
                <w:lang w:eastAsia="zh-CN"/>
              </w:rPr>
              <w:t>, otherwise, we will face more issues and questions.</w:t>
            </w:r>
          </w:p>
          <w:p w14:paraId="58617E41"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we agree </w:t>
            </w:r>
            <w:r w:rsidRPr="009E0F9B">
              <w:rPr>
                <w:rFonts w:ascii="Times New Roman" w:eastAsiaTheme="minorEastAsia" w:hAnsi="Times New Roman" w:cs="Times New Roman"/>
                <w:sz w:val="20"/>
                <w:szCs w:val="20"/>
                <w:highlight w:val="yellow"/>
                <w:lang w:eastAsia="zh-CN"/>
              </w:rPr>
              <w:t>P1-1, it means the migration type decision (</w:t>
            </w:r>
            <w:proofErr w:type="gramStart"/>
            <w:r w:rsidRPr="009E0F9B">
              <w:rPr>
                <w:rFonts w:ascii="Times New Roman" w:eastAsiaTheme="minorEastAsia" w:hAnsi="Times New Roman" w:cs="Times New Roman"/>
                <w:sz w:val="20"/>
                <w:szCs w:val="20"/>
                <w:highlight w:val="yellow"/>
                <w:lang w:eastAsia="zh-CN"/>
              </w:rPr>
              <w:t>i.e.</w:t>
            </w:r>
            <w:proofErr w:type="gramEnd"/>
            <w:r w:rsidRPr="009E0F9B">
              <w:rPr>
                <w:rFonts w:ascii="Times New Roman" w:eastAsiaTheme="minorEastAsia" w:hAnsi="Times New Roman" w:cs="Times New Roman"/>
                <w:sz w:val="20"/>
                <w:szCs w:val="20"/>
                <w:highlight w:val="yellow"/>
                <w:lang w:eastAsia="zh-CN"/>
              </w:rPr>
              <w:t xml:space="preserve"> partial migration or full migration) will be performed after IAB-MT’s HO or it’s based on the assumption that the migrations of IAB-DU and IAB-MT are decoupled</w:t>
            </w:r>
            <w:r>
              <w:rPr>
                <w:rFonts w:ascii="Times New Roman" w:eastAsiaTheme="minorEastAsia" w:hAnsi="Times New Roman" w:cs="Times New Roman"/>
                <w:sz w:val="20"/>
                <w:szCs w:val="20"/>
                <w:lang w:eastAsia="zh-CN"/>
              </w:rPr>
              <w:t>, we don’t think this is agreed since we’re discussing this in session 3.4.</w:t>
            </w:r>
          </w:p>
          <w:p w14:paraId="58617E42"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migration type decision happens before IAB-MT’s HO, it is possible that the IAB-MT’s HO is triggered by F1-terminating donor-CU, in case of the last migration is partial migration while the F1-terminating donor-CU decide to perform full migration, which is not aligned with P1-1.</w:t>
            </w:r>
          </w:p>
        </w:tc>
      </w:tr>
      <w:tr w:rsidR="00A3488F" w14:paraId="58617E47" w14:textId="77777777">
        <w:trPr>
          <w:trHeight w:val="342"/>
        </w:trPr>
        <w:tc>
          <w:tcPr>
            <w:tcW w:w="1378" w:type="dxa"/>
          </w:tcPr>
          <w:p w14:paraId="58617E44"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ZTE</w:t>
            </w:r>
          </w:p>
        </w:tc>
        <w:tc>
          <w:tcPr>
            <w:tcW w:w="1209" w:type="dxa"/>
          </w:tcPr>
          <w:p w14:paraId="58617E45"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7200" w:type="dxa"/>
          </w:tcPr>
          <w:p w14:paraId="58617E46"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 handover of mIAB-MT is decided and triggered only by the source donor, the F1 terminating donor doesn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need to be involved. </w:t>
            </w:r>
          </w:p>
        </w:tc>
      </w:tr>
      <w:tr w:rsidR="00665DD5" w14:paraId="58617E4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617E48"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Samsung</w:t>
            </w:r>
          </w:p>
        </w:tc>
        <w:tc>
          <w:tcPr>
            <w:tcW w:w="1209" w:type="dxa"/>
            <w:tcBorders>
              <w:top w:val="single" w:sz="4" w:space="0" w:color="auto"/>
              <w:left w:val="single" w:sz="4" w:space="0" w:color="auto"/>
              <w:bottom w:val="single" w:sz="4" w:space="0" w:color="auto"/>
              <w:right w:val="single" w:sz="4" w:space="0" w:color="auto"/>
            </w:tcBorders>
          </w:tcPr>
          <w:p w14:paraId="58617E49"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Yes</w:t>
            </w:r>
          </w:p>
        </w:tc>
        <w:tc>
          <w:tcPr>
            <w:tcW w:w="7200" w:type="dxa"/>
            <w:tcBorders>
              <w:top w:val="single" w:sz="4" w:space="0" w:color="auto"/>
              <w:left w:val="single" w:sz="4" w:space="0" w:color="auto"/>
              <w:bottom w:val="single" w:sz="4" w:space="0" w:color="auto"/>
              <w:right w:val="single" w:sz="4" w:space="0" w:color="auto"/>
            </w:tcBorders>
          </w:tcPr>
          <w:p w14:paraId="58617E4A" w14:textId="77777777" w:rsidR="00665DD5" w:rsidRDefault="00665DD5" w:rsidP="00665DD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F1-terminating</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donor</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CU</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should</w:t>
            </w:r>
            <w:r>
              <w:rPr>
                <w:rFonts w:ascii="Times New Roman" w:eastAsiaTheme="minorEastAsia" w:hAnsi="Times New Roman" w:cs="Times New Roman"/>
                <w:sz w:val="20"/>
                <w:szCs w:val="20"/>
                <w:lang w:val="en-GB" w:eastAsia="zh-CN"/>
              </w:rPr>
              <w:t xml:space="preserve"> also </w:t>
            </w:r>
            <w:r>
              <w:rPr>
                <w:rFonts w:ascii="Times New Roman" w:eastAsiaTheme="minorEastAsia" w:hAnsi="Times New Roman" w:cs="Times New Roman" w:hint="eastAsia"/>
                <w:sz w:val="20"/>
                <w:szCs w:val="20"/>
                <w:lang w:val="en-GB" w:eastAsia="zh-CN"/>
              </w:rPr>
              <w:t>know</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decision</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made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y d</w:t>
            </w:r>
            <w:r>
              <w:rPr>
                <w:rFonts w:ascii="Times New Roman" w:eastAsiaTheme="minorEastAsia" w:hAnsi="Times New Roman" w:cs="Times New Roman" w:hint="eastAsia"/>
                <w:sz w:val="20"/>
                <w:szCs w:val="20"/>
                <w:lang w:val="en-GB" w:eastAsia="zh-CN"/>
              </w:rPr>
              <w:t>onor</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CU</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serving</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mIAB-MT</w:t>
            </w:r>
            <w:r>
              <w:rPr>
                <w:rFonts w:ascii="Times New Roman" w:eastAsiaTheme="minorEastAsia" w:hAnsi="Times New Roman" w:cs="Times New Roman"/>
                <w:sz w:val="20"/>
                <w:szCs w:val="20"/>
                <w:lang w:val="en-GB" w:eastAsia="zh-CN"/>
              </w:rPr>
              <w:t xml:space="preserve">, the reason is that we should guarantee Xn interface connection with </w:t>
            </w:r>
            <w:r>
              <w:rPr>
                <w:rFonts w:ascii="Times New Roman" w:eastAsiaTheme="minorEastAsia" w:hAnsi="Times New Roman" w:cs="Times New Roman" w:hint="eastAsia"/>
                <w:sz w:val="20"/>
                <w:szCs w:val="20"/>
                <w:lang w:val="en-GB" w:eastAsia="zh-CN"/>
              </w:rPr>
              <w:t>F1-terminating</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donor</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CU</w:t>
            </w:r>
            <w:r>
              <w:rPr>
                <w:rFonts w:ascii="Times New Roman" w:eastAsiaTheme="minorEastAsia" w:hAnsi="Times New Roman" w:cs="Times New Roman"/>
                <w:sz w:val="20"/>
                <w:szCs w:val="20"/>
                <w:lang w:val="en-GB" w:eastAsia="zh-CN"/>
              </w:rPr>
              <w:t xml:space="preserve"> before NGAP is agreed to be used for inter-donor migration when Xn is not available.</w:t>
            </w:r>
          </w:p>
          <w:p w14:paraId="58617E4B"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There are two ways to guarantee Xn interface connection with </w:t>
            </w:r>
            <w:r>
              <w:rPr>
                <w:rFonts w:ascii="Times New Roman" w:eastAsiaTheme="minorEastAsia" w:hAnsi="Times New Roman" w:cs="Times New Roman" w:hint="eastAsia"/>
                <w:sz w:val="20"/>
                <w:szCs w:val="20"/>
                <w:lang w:val="en-GB" w:eastAsia="zh-CN"/>
              </w:rPr>
              <w:t>F1-terminating</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donor</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CU</w:t>
            </w:r>
            <w:r>
              <w:rPr>
                <w:rFonts w:ascii="Times New Roman" w:eastAsiaTheme="minorEastAsia" w:hAnsi="Times New Roman" w:cs="Times New Roman"/>
                <w:sz w:val="20"/>
                <w:szCs w:val="20"/>
                <w:lang w:val="en-GB" w:eastAsia="zh-CN"/>
              </w:rPr>
              <w:t>: one is that F1-terminating donor CU sends target donor CU list which have Xn interface with it to d</w:t>
            </w:r>
            <w:r>
              <w:rPr>
                <w:rFonts w:ascii="Times New Roman" w:eastAsiaTheme="minorEastAsia" w:hAnsi="Times New Roman" w:cs="Times New Roman" w:hint="eastAsia"/>
                <w:sz w:val="20"/>
                <w:szCs w:val="20"/>
                <w:lang w:val="en-GB" w:eastAsia="zh-CN"/>
              </w:rPr>
              <w:t>onor</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CU</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serving</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mIAB-MT</w:t>
            </w:r>
            <w:r>
              <w:rPr>
                <w:rFonts w:ascii="Times New Roman" w:eastAsiaTheme="minorEastAsia" w:hAnsi="Times New Roman" w:cs="Times New Roman"/>
                <w:sz w:val="20"/>
                <w:szCs w:val="20"/>
                <w:lang w:val="en-GB" w:eastAsia="zh-CN"/>
              </w:rPr>
              <w:t>, and d</w:t>
            </w:r>
            <w:r>
              <w:rPr>
                <w:rFonts w:ascii="Times New Roman" w:eastAsiaTheme="minorEastAsia" w:hAnsi="Times New Roman" w:cs="Times New Roman" w:hint="eastAsia"/>
                <w:sz w:val="20"/>
                <w:szCs w:val="20"/>
                <w:lang w:val="en-GB" w:eastAsia="zh-CN"/>
              </w:rPr>
              <w:t>onor</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CU</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serving</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mIAB-MT</w:t>
            </w:r>
            <w:r>
              <w:rPr>
                <w:rFonts w:ascii="Times New Roman" w:eastAsiaTheme="minorEastAsia" w:hAnsi="Times New Roman" w:cs="Times New Roman"/>
                <w:sz w:val="20"/>
                <w:szCs w:val="20"/>
                <w:lang w:val="en-GB" w:eastAsia="zh-CN"/>
              </w:rPr>
              <w:t xml:space="preserve"> makes the decision based on this list. The other is that d</w:t>
            </w:r>
            <w:r>
              <w:rPr>
                <w:rFonts w:ascii="Times New Roman" w:eastAsiaTheme="minorEastAsia" w:hAnsi="Times New Roman" w:cs="Times New Roman" w:hint="eastAsia"/>
                <w:sz w:val="20"/>
                <w:szCs w:val="20"/>
                <w:lang w:val="en-GB" w:eastAsia="zh-CN"/>
              </w:rPr>
              <w:t>onor</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CU</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serving</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mIAB-MT</w:t>
            </w:r>
            <w:r>
              <w:rPr>
                <w:rFonts w:ascii="Times New Roman" w:eastAsiaTheme="minorEastAsia" w:hAnsi="Times New Roman" w:cs="Times New Roman"/>
                <w:sz w:val="20"/>
                <w:szCs w:val="20"/>
                <w:lang w:val="en-GB" w:eastAsia="zh-CN"/>
              </w:rPr>
              <w:t xml:space="preserve"> first negotiates with F1-terminating donor CU, and then makes the final decision.</w:t>
            </w:r>
          </w:p>
        </w:tc>
      </w:tr>
    </w:tbl>
    <w:p w14:paraId="1DC0F184" w14:textId="01024F69" w:rsidR="00705663" w:rsidRPr="00705663" w:rsidRDefault="00705663">
      <w:pPr>
        <w:spacing w:before="120" w:after="0"/>
        <w:rPr>
          <w:rFonts w:ascii="Times New Roman" w:hAnsi="Times New Roman" w:cs="Times New Roman"/>
          <w:b/>
          <w:bCs/>
          <w:color w:val="000000"/>
          <w:sz w:val="20"/>
          <w:szCs w:val="20"/>
          <w:u w:val="single"/>
          <w:lang w:val="en-GB"/>
        </w:rPr>
      </w:pPr>
      <w:r w:rsidRPr="00705663">
        <w:rPr>
          <w:rFonts w:ascii="Times New Roman" w:hAnsi="Times New Roman" w:cs="Times New Roman"/>
          <w:b/>
          <w:bCs/>
          <w:color w:val="000000"/>
          <w:sz w:val="20"/>
          <w:szCs w:val="20"/>
          <w:u w:val="single"/>
          <w:lang w:val="en-GB"/>
        </w:rPr>
        <w:t>Summary:</w:t>
      </w:r>
    </w:p>
    <w:p w14:paraId="58617E61" w14:textId="6D3A1690" w:rsidR="00A3488F" w:rsidRPr="00143C38" w:rsidRDefault="009D0D34">
      <w:pPr>
        <w:spacing w:before="120" w:after="0"/>
        <w:rPr>
          <w:rFonts w:ascii="Times New Roman" w:hAnsi="Times New Roman" w:cs="Times New Roman"/>
          <w:color w:val="0070C0"/>
          <w:sz w:val="20"/>
          <w:szCs w:val="20"/>
          <w:lang w:val="en-GB"/>
        </w:rPr>
      </w:pPr>
      <w:r w:rsidRPr="00143C38">
        <w:rPr>
          <w:rFonts w:ascii="Times New Roman" w:hAnsi="Times New Roman" w:cs="Times New Roman"/>
          <w:color w:val="0070C0"/>
          <w:sz w:val="20"/>
          <w:szCs w:val="20"/>
          <w:lang w:val="en-GB"/>
        </w:rPr>
        <w:t>8/10 companies in favo</w:t>
      </w:r>
      <w:r w:rsidR="00705663" w:rsidRPr="00143C38">
        <w:rPr>
          <w:rFonts w:ascii="Times New Roman" w:hAnsi="Times New Roman" w:cs="Times New Roman"/>
          <w:color w:val="0070C0"/>
          <w:sz w:val="20"/>
          <w:szCs w:val="20"/>
          <w:lang w:val="en-GB"/>
        </w:rPr>
        <w:t xml:space="preserve">ur, 2/10 </w:t>
      </w:r>
      <w:r w:rsidR="001957A9" w:rsidRPr="00143C38">
        <w:rPr>
          <w:rFonts w:ascii="Times New Roman" w:hAnsi="Times New Roman" w:cs="Times New Roman"/>
          <w:color w:val="0070C0"/>
          <w:sz w:val="20"/>
          <w:szCs w:val="20"/>
          <w:lang w:val="en-GB"/>
        </w:rPr>
        <w:t>have concerns related to</w:t>
      </w:r>
      <w:r w:rsidR="00092A3C" w:rsidRPr="00143C38">
        <w:rPr>
          <w:rFonts w:ascii="Times New Roman" w:hAnsi="Times New Roman" w:cs="Times New Roman"/>
          <w:color w:val="0070C0"/>
          <w:sz w:val="20"/>
          <w:szCs w:val="20"/>
          <w:lang w:val="en-GB"/>
        </w:rPr>
        <w:t xml:space="preserve"> the involvement of the mIAB-DU in HO decision. In Moderator’s view, only the MT’s donor may decide about MT </w:t>
      </w:r>
      <w:r w:rsidR="00A92AFA" w:rsidRPr="00143C38">
        <w:rPr>
          <w:rFonts w:ascii="Times New Roman" w:hAnsi="Times New Roman" w:cs="Times New Roman"/>
          <w:color w:val="0070C0"/>
          <w:sz w:val="20"/>
          <w:szCs w:val="20"/>
          <w:lang w:val="en-GB"/>
        </w:rPr>
        <w:t>HO</w:t>
      </w:r>
      <w:r w:rsidR="001926FD">
        <w:rPr>
          <w:rFonts w:ascii="Times New Roman" w:hAnsi="Times New Roman" w:cs="Times New Roman"/>
          <w:color w:val="0070C0"/>
          <w:sz w:val="20"/>
          <w:szCs w:val="20"/>
          <w:lang w:val="en-GB"/>
        </w:rPr>
        <w:t xml:space="preserve"> (since it knows the radio conditions best)</w:t>
      </w:r>
      <w:r w:rsidR="00A92AFA" w:rsidRPr="00143C38">
        <w:rPr>
          <w:rFonts w:ascii="Times New Roman" w:hAnsi="Times New Roman" w:cs="Times New Roman"/>
          <w:color w:val="0070C0"/>
          <w:sz w:val="20"/>
          <w:szCs w:val="20"/>
          <w:lang w:val="en-GB"/>
        </w:rPr>
        <w:t>, but it should</w:t>
      </w:r>
      <w:r w:rsidR="00143C38">
        <w:rPr>
          <w:rFonts w:ascii="Times New Roman" w:hAnsi="Times New Roman" w:cs="Times New Roman"/>
          <w:color w:val="0070C0"/>
          <w:sz w:val="20"/>
          <w:szCs w:val="20"/>
          <w:lang w:val="en-GB"/>
        </w:rPr>
        <w:t xml:space="preserve"> inform the DU’s donor about its intention, and this is addressed in P1-3.</w:t>
      </w:r>
    </w:p>
    <w:p w14:paraId="367E0AF6" w14:textId="1E0CA755" w:rsidR="00687F12" w:rsidRPr="00143C38" w:rsidRDefault="00687F12" w:rsidP="00687F12">
      <w:pPr>
        <w:spacing w:before="120" w:after="0"/>
        <w:rPr>
          <w:rFonts w:ascii="Times New Roman" w:hAnsi="Times New Roman" w:cs="Times New Roman"/>
          <w:b/>
          <w:bCs/>
          <w:color w:val="00B050"/>
          <w:sz w:val="20"/>
          <w:szCs w:val="20"/>
        </w:rPr>
      </w:pPr>
      <w:r w:rsidRPr="00143C38">
        <w:rPr>
          <w:rFonts w:ascii="Times New Roman" w:hAnsi="Times New Roman" w:cs="Times New Roman"/>
          <w:b/>
          <w:bCs/>
          <w:color w:val="00B050"/>
          <w:sz w:val="20"/>
          <w:szCs w:val="20"/>
          <w:lang w:val="en-GB"/>
        </w:rPr>
        <w:t>Proposal 1-1: For partial migration</w:t>
      </w:r>
      <w:r w:rsidR="0062686B" w:rsidRPr="00143C38">
        <w:rPr>
          <w:rFonts w:ascii="Times New Roman" w:hAnsi="Times New Roman" w:cs="Times New Roman"/>
          <w:b/>
          <w:bCs/>
          <w:color w:val="00B050"/>
          <w:sz w:val="20"/>
          <w:szCs w:val="20"/>
          <w:lang w:val="en-GB"/>
        </w:rPr>
        <w:t xml:space="preserve"> of mIAB-node</w:t>
      </w:r>
      <w:r w:rsidRPr="00143C38">
        <w:rPr>
          <w:rFonts w:ascii="Times New Roman" w:hAnsi="Times New Roman" w:cs="Times New Roman"/>
          <w:b/>
          <w:bCs/>
          <w:color w:val="00B050"/>
          <w:sz w:val="20"/>
          <w:szCs w:val="20"/>
          <w:lang w:val="en-GB"/>
        </w:rPr>
        <w:t>, t</w:t>
      </w:r>
      <w:r w:rsidRPr="00143C38">
        <w:rPr>
          <w:rFonts w:ascii="Times New Roman" w:hAnsi="Times New Roman" w:cs="Times New Roman"/>
          <w:b/>
          <w:bCs/>
          <w:color w:val="00B050"/>
          <w:sz w:val="20"/>
          <w:szCs w:val="20"/>
        </w:rPr>
        <w:t>he inter-donor HO of mIAB-MT is decided and triggered by the donor CU serving the mIAB-MT.</w:t>
      </w:r>
    </w:p>
    <w:p w14:paraId="58617E62" w14:textId="77777777" w:rsidR="00A3488F" w:rsidRDefault="00D4377D">
      <w:pPr>
        <w:spacing w:before="120"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The Moderator also makes the following initial proposal:</w:t>
      </w:r>
    </w:p>
    <w:p w14:paraId="58617E63" w14:textId="77777777" w:rsidR="00A3488F" w:rsidRDefault="00D4377D">
      <w:pPr>
        <w:spacing w:before="120" w:after="0"/>
        <w:rPr>
          <w:rFonts w:ascii="Times New Roman" w:hAnsi="Times New Roman" w:cs="Times New Roman"/>
          <w:b/>
          <w:bCs/>
          <w:sz w:val="20"/>
          <w:szCs w:val="20"/>
        </w:rPr>
      </w:pPr>
      <w:r>
        <w:rPr>
          <w:rFonts w:ascii="Times New Roman" w:hAnsi="Times New Roman" w:cs="Times New Roman"/>
          <w:b/>
          <w:bCs/>
          <w:color w:val="000000"/>
          <w:sz w:val="20"/>
          <w:szCs w:val="20"/>
          <w:lang w:val="en-GB"/>
        </w:rPr>
        <w:t xml:space="preserve">Potential proposal 1-2: For </w:t>
      </w:r>
      <w:r>
        <w:rPr>
          <w:rFonts w:ascii="Times New Roman" w:hAnsi="Times New Roman" w:cs="Times New Roman"/>
          <w:b/>
          <w:bCs/>
          <w:color w:val="000000"/>
          <w:sz w:val="20"/>
          <w:szCs w:val="20"/>
          <w:u w:val="single"/>
          <w:lang w:val="en-GB"/>
        </w:rPr>
        <w:t>inter-donor partial migration</w:t>
      </w:r>
      <w:r>
        <w:rPr>
          <w:rFonts w:ascii="Times New Roman" w:hAnsi="Times New Roman" w:cs="Times New Roman"/>
          <w:b/>
          <w:bCs/>
          <w:color w:val="000000"/>
          <w:sz w:val="20"/>
          <w:szCs w:val="20"/>
          <w:lang w:val="en-GB"/>
        </w:rPr>
        <w:t xml:space="preserve">, the </w:t>
      </w:r>
      <w:r>
        <w:rPr>
          <w:rFonts w:ascii="Times New Roman" w:hAnsi="Times New Roman" w:cs="Times New Roman"/>
          <w:b/>
          <w:bCs/>
          <w:color w:val="000000"/>
          <w:sz w:val="20"/>
          <w:szCs w:val="20"/>
          <w:u w:val="single"/>
          <w:lang w:val="en-GB"/>
        </w:rPr>
        <w:t>donor CU serving the mIAB-DU</w:t>
      </w:r>
      <w:r>
        <w:rPr>
          <w:rFonts w:ascii="Times New Roman" w:hAnsi="Times New Roman" w:cs="Times New Roman"/>
          <w:b/>
          <w:bCs/>
          <w:color w:val="000000"/>
          <w:sz w:val="20"/>
          <w:szCs w:val="20"/>
          <w:lang w:val="en-GB"/>
        </w:rPr>
        <w:t xml:space="preserve"> decides and triggers the </w:t>
      </w:r>
      <w:r>
        <w:rPr>
          <w:rFonts w:ascii="Times New Roman" w:hAnsi="Times New Roman" w:cs="Times New Roman"/>
          <w:b/>
          <w:bCs/>
          <w:sz w:val="20"/>
          <w:szCs w:val="20"/>
          <w:u w:val="single"/>
        </w:rPr>
        <w:t>inter-donor F1 transport migration</w:t>
      </w:r>
      <w:r>
        <w:rPr>
          <w:rFonts w:ascii="Times New Roman" w:hAnsi="Times New Roman" w:cs="Times New Roman"/>
          <w:b/>
          <w:bCs/>
          <w:sz w:val="20"/>
          <w:szCs w:val="20"/>
        </w:rPr>
        <w:t xml:space="preserve"> for the mIAB-DU.</w:t>
      </w:r>
    </w:p>
    <w:p w14:paraId="58617E64" w14:textId="77777777" w:rsidR="00A3488F" w:rsidRDefault="00D4377D">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Q1-2: Do you agree to Potential proposal 1-2?</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A3488F" w14:paraId="58617E68" w14:textId="77777777">
        <w:trPr>
          <w:trHeight w:val="325"/>
        </w:trPr>
        <w:tc>
          <w:tcPr>
            <w:tcW w:w="1378" w:type="dxa"/>
          </w:tcPr>
          <w:p w14:paraId="58617E65"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8617E66"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8617E67"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3488F" w14:paraId="58617E6C" w14:textId="77777777">
        <w:trPr>
          <w:trHeight w:val="357"/>
        </w:trPr>
        <w:tc>
          <w:tcPr>
            <w:tcW w:w="1378" w:type="dxa"/>
          </w:tcPr>
          <w:p w14:paraId="58617E69"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58617E6A"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58617E6B" w14:textId="77777777" w:rsidR="00A3488F" w:rsidRDefault="00D4377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This is in line with the Rel-17 principle of partial migration, where the F1 transport migration is initiated by the F1-terminating donor.</w:t>
            </w:r>
          </w:p>
        </w:tc>
      </w:tr>
      <w:tr w:rsidR="00A3488F" w14:paraId="58617E70" w14:textId="77777777">
        <w:trPr>
          <w:trHeight w:val="342"/>
        </w:trPr>
        <w:tc>
          <w:tcPr>
            <w:tcW w:w="1378" w:type="dxa"/>
          </w:tcPr>
          <w:p w14:paraId="58617E6D"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58617E6E"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58617E6F"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7E7B" w14:textId="77777777">
        <w:trPr>
          <w:trHeight w:val="325"/>
        </w:trPr>
        <w:tc>
          <w:tcPr>
            <w:tcW w:w="1378" w:type="dxa"/>
          </w:tcPr>
          <w:p w14:paraId="58617E71"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58617E72" w14:textId="77777777" w:rsidR="00A3488F" w:rsidRDefault="00A3488F">
            <w:pPr>
              <w:spacing w:before="120" w:after="0"/>
              <w:rPr>
                <w:rFonts w:ascii="Times New Roman" w:eastAsiaTheme="minorEastAsia" w:hAnsi="Times New Roman" w:cs="Times New Roman"/>
                <w:sz w:val="20"/>
                <w:szCs w:val="20"/>
                <w:lang w:val="en-GB" w:eastAsia="zh-CN"/>
              </w:rPr>
            </w:pPr>
          </w:p>
          <w:p w14:paraId="58617E73"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Not correctly captured in P1-2!</w:t>
            </w:r>
          </w:p>
        </w:tc>
        <w:tc>
          <w:tcPr>
            <w:tcW w:w="7200" w:type="dxa"/>
          </w:tcPr>
          <w:p w14:paraId="58617E74"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In Rel-17, it was the </w:t>
            </w:r>
            <w:r>
              <w:rPr>
                <w:rFonts w:ascii="Times New Roman" w:eastAsiaTheme="minorEastAsia" w:hAnsi="Times New Roman" w:cs="Times New Roman"/>
                <w:b/>
                <w:bCs/>
                <w:sz w:val="20"/>
                <w:szCs w:val="20"/>
                <w:lang w:val="en-GB" w:eastAsia="zh-CN"/>
              </w:rPr>
              <w:t>IAB-MT’s source CU</w:t>
            </w:r>
            <w:r>
              <w:rPr>
                <w:rFonts w:ascii="Times New Roman" w:eastAsiaTheme="minorEastAsia" w:hAnsi="Times New Roman" w:cs="Times New Roman"/>
                <w:sz w:val="20"/>
                <w:szCs w:val="20"/>
                <w:lang w:val="en-GB" w:eastAsia="zh-CN"/>
              </w:rPr>
              <w:t>, which initiated the inter-donor F1 transport migration. If we perform subsequent partial migrations, it always needs to be the IAB-MT’s CU that initiates all the action.</w:t>
            </w:r>
          </w:p>
          <w:p w14:paraId="58617E75"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However, looking at Q1-3 and Q1-5, it seems that the moderator aims for the following sequence:</w:t>
            </w:r>
          </w:p>
          <w:p w14:paraId="58617E76" w14:textId="77777777" w:rsidR="00A3488F" w:rsidRDefault="00D4377D">
            <w:pPr>
              <w:pStyle w:val="ListParagraph"/>
              <w:numPr>
                <w:ilvl w:val="0"/>
                <w:numId w:val="6"/>
              </w:numPr>
              <w:spacing w:before="120" w:after="0"/>
              <w:rPr>
                <w:rFonts w:ascii="Times New Roman" w:eastAsiaTheme="minorEastAsia" w:hAnsi="Times New Roman" w:cs="Times New Roman"/>
              </w:rPr>
            </w:pPr>
            <w:r>
              <w:rPr>
                <w:rFonts w:ascii="Times New Roman" w:eastAsiaTheme="minorEastAsia" w:hAnsi="Times New Roman" w:cs="Times New Roman"/>
              </w:rPr>
              <w:t>Step 1: The IAB-MT’s CU (</w:t>
            </w:r>
            <w:r>
              <w:rPr>
                <w:rFonts w:ascii="Times New Roman" w:eastAsiaTheme="minorEastAsia" w:hAnsi="Times New Roman" w:cs="Times New Roman"/>
                <w:b/>
                <w:bCs/>
              </w:rPr>
              <w:t>CU2</w:t>
            </w:r>
            <w:r>
              <w:rPr>
                <w:rFonts w:ascii="Times New Roman" w:eastAsiaTheme="minorEastAsia" w:hAnsi="Times New Roman" w:cs="Times New Roman"/>
              </w:rPr>
              <w:t>) triggers IAB-MT handover to a new target CU (</w:t>
            </w:r>
            <w:r>
              <w:rPr>
                <w:rFonts w:ascii="Times New Roman" w:eastAsiaTheme="minorEastAsia" w:hAnsi="Times New Roman" w:cs="Times New Roman"/>
                <w:b/>
                <w:bCs/>
              </w:rPr>
              <w:t>CU3</w:t>
            </w:r>
            <w:r>
              <w:rPr>
                <w:rFonts w:ascii="Times New Roman" w:eastAsiaTheme="minorEastAsia" w:hAnsi="Times New Roman" w:cs="Times New Roman"/>
              </w:rPr>
              <w:t>) and informs the IAB-DU’s CU (</w:t>
            </w:r>
            <w:r>
              <w:rPr>
                <w:rFonts w:ascii="Times New Roman" w:eastAsiaTheme="minorEastAsia" w:hAnsi="Times New Roman" w:cs="Times New Roman"/>
                <w:b/>
                <w:bCs/>
              </w:rPr>
              <w:t>CU1</w:t>
            </w:r>
            <w:r>
              <w:rPr>
                <w:rFonts w:ascii="Times New Roman" w:eastAsiaTheme="minorEastAsia" w:hAnsi="Times New Roman" w:cs="Times New Roman"/>
              </w:rPr>
              <w:t>) about this IAB-MT migration.</w:t>
            </w:r>
          </w:p>
          <w:p w14:paraId="58617E77" w14:textId="77777777" w:rsidR="00A3488F" w:rsidRDefault="00A3488F">
            <w:pPr>
              <w:pStyle w:val="ListParagraph"/>
              <w:spacing w:before="120" w:after="0"/>
              <w:rPr>
                <w:rFonts w:ascii="Times New Roman" w:eastAsiaTheme="minorEastAsia" w:hAnsi="Times New Roman" w:cs="Times New Roman"/>
              </w:rPr>
            </w:pPr>
          </w:p>
          <w:p w14:paraId="58617E78" w14:textId="77777777" w:rsidR="00A3488F" w:rsidRDefault="00D4377D">
            <w:pPr>
              <w:pStyle w:val="ListParagraph"/>
              <w:numPr>
                <w:ilvl w:val="0"/>
                <w:numId w:val="6"/>
              </w:numPr>
              <w:spacing w:before="120" w:after="0"/>
              <w:rPr>
                <w:rFonts w:ascii="Times New Roman" w:eastAsiaTheme="minorEastAsia" w:hAnsi="Times New Roman" w:cs="Times New Roman"/>
              </w:rPr>
            </w:pPr>
            <w:r>
              <w:rPr>
                <w:rFonts w:ascii="Times New Roman" w:eastAsiaTheme="minorEastAsia" w:hAnsi="Times New Roman" w:cs="Times New Roman"/>
              </w:rPr>
              <w:t>Step 2: The IAB-DU’s CU (</w:t>
            </w:r>
            <w:r>
              <w:rPr>
                <w:rFonts w:ascii="Times New Roman" w:eastAsiaTheme="minorEastAsia" w:hAnsi="Times New Roman" w:cs="Times New Roman"/>
                <w:b/>
                <w:bCs/>
              </w:rPr>
              <w:t>CU1</w:t>
            </w:r>
            <w:r>
              <w:rPr>
                <w:rFonts w:ascii="Times New Roman" w:eastAsiaTheme="minorEastAsia" w:hAnsi="Times New Roman" w:cs="Times New Roman"/>
              </w:rPr>
              <w:t>) then migrates F1 traffic to the IAB-MT’s new target CU (</w:t>
            </w:r>
            <w:r>
              <w:rPr>
                <w:rFonts w:ascii="Times New Roman" w:eastAsiaTheme="minorEastAsia" w:hAnsi="Times New Roman" w:cs="Times New Roman"/>
                <w:b/>
                <w:bCs/>
              </w:rPr>
              <w:t>CU3</w:t>
            </w:r>
            <w:r>
              <w:rPr>
                <w:rFonts w:ascii="Times New Roman" w:eastAsiaTheme="minorEastAsia" w:hAnsi="Times New Roman" w:cs="Times New Roman"/>
              </w:rPr>
              <w:t>) so that the traffic path is optimized, i.e., between IAB-DU’s CU (</w:t>
            </w:r>
            <w:r>
              <w:rPr>
                <w:rFonts w:ascii="Times New Roman" w:eastAsiaTheme="minorEastAsia" w:hAnsi="Times New Roman" w:cs="Times New Roman"/>
                <w:b/>
                <w:bCs/>
              </w:rPr>
              <w:t>CU1</w:t>
            </w:r>
            <w:r>
              <w:rPr>
                <w:rFonts w:ascii="Times New Roman" w:eastAsiaTheme="minorEastAsia" w:hAnsi="Times New Roman" w:cs="Times New Roman"/>
              </w:rPr>
              <w:t>) and IAB-MT’s new target CU (</w:t>
            </w:r>
            <w:r>
              <w:rPr>
                <w:rFonts w:ascii="Times New Roman" w:eastAsiaTheme="minorEastAsia" w:hAnsi="Times New Roman" w:cs="Times New Roman"/>
                <w:b/>
                <w:bCs/>
              </w:rPr>
              <w:t>CU3</w:t>
            </w:r>
            <w:r>
              <w:rPr>
                <w:rFonts w:ascii="Times New Roman" w:eastAsiaTheme="minorEastAsia" w:hAnsi="Times New Roman" w:cs="Times New Roman"/>
              </w:rPr>
              <w:t xml:space="preserve">). </w:t>
            </w:r>
          </w:p>
          <w:p w14:paraId="58617E79" w14:textId="77777777" w:rsidR="00A3488F" w:rsidRDefault="00D4377D">
            <w:pPr>
              <w:spacing w:before="120" w:after="0"/>
              <w:rPr>
                <w:rFonts w:ascii="Times New Roman" w:eastAsiaTheme="minorEastAsia" w:hAnsi="Times New Roman" w:cs="Times New Roman"/>
              </w:rPr>
            </w:pPr>
            <w:r>
              <w:rPr>
                <w:rFonts w:ascii="Times New Roman" w:eastAsiaTheme="minorEastAsia" w:hAnsi="Times New Roman" w:cs="Times New Roman"/>
              </w:rPr>
              <w:t xml:space="preserve">This procedure is fine with us. </w:t>
            </w:r>
          </w:p>
          <w:p w14:paraId="58617E7A"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 </w:t>
            </w:r>
          </w:p>
        </w:tc>
      </w:tr>
      <w:tr w:rsidR="00A3488F" w14:paraId="58617E7F" w14:textId="77777777">
        <w:trPr>
          <w:trHeight w:val="342"/>
        </w:trPr>
        <w:tc>
          <w:tcPr>
            <w:tcW w:w="1378" w:type="dxa"/>
          </w:tcPr>
          <w:p w14:paraId="58617E7C"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F</w:t>
            </w:r>
            <w:r>
              <w:rPr>
                <w:rFonts w:ascii="Times New Roman" w:eastAsiaTheme="minorEastAsia" w:hAnsi="Times New Roman" w:cs="Times New Roman"/>
                <w:sz w:val="20"/>
                <w:szCs w:val="20"/>
                <w:lang w:val="en-GB" w:eastAsia="zh-CN"/>
              </w:rPr>
              <w:t>ujitsu</w:t>
            </w:r>
          </w:p>
        </w:tc>
        <w:tc>
          <w:tcPr>
            <w:tcW w:w="1209" w:type="dxa"/>
          </w:tcPr>
          <w:p w14:paraId="58617E7D"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58617E7E"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F1 transport migration should be initiated by the F1-terminating donor, as in R17 partial migration.</w:t>
            </w:r>
          </w:p>
        </w:tc>
      </w:tr>
      <w:tr w:rsidR="00A3488F" w14:paraId="58617E83" w14:textId="77777777">
        <w:trPr>
          <w:trHeight w:val="325"/>
        </w:trPr>
        <w:tc>
          <w:tcPr>
            <w:tcW w:w="1378" w:type="dxa"/>
          </w:tcPr>
          <w:p w14:paraId="58617E80" w14:textId="77777777" w:rsidR="00A3488F" w:rsidRDefault="00D4377D">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1209" w:type="dxa"/>
          </w:tcPr>
          <w:p w14:paraId="58617E81"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7E82"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7E89" w14:textId="77777777">
        <w:trPr>
          <w:trHeight w:val="342"/>
        </w:trPr>
        <w:tc>
          <w:tcPr>
            <w:tcW w:w="1378" w:type="dxa"/>
          </w:tcPr>
          <w:p w14:paraId="58617E84"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58617E85" w14:textId="77777777" w:rsidR="00A3488F" w:rsidRDefault="00A3488F">
            <w:pPr>
              <w:spacing w:before="120" w:after="0"/>
              <w:rPr>
                <w:rFonts w:ascii="Times New Roman" w:eastAsiaTheme="minorEastAsia" w:hAnsi="Times New Roman" w:cs="Times New Roman"/>
                <w:sz w:val="20"/>
                <w:szCs w:val="20"/>
                <w:lang w:val="en-GB" w:eastAsia="zh-CN"/>
              </w:rPr>
            </w:pPr>
          </w:p>
        </w:tc>
        <w:tc>
          <w:tcPr>
            <w:tcW w:w="7200" w:type="dxa"/>
          </w:tcPr>
          <w:p w14:paraId="58617E86"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inter-donor partial migration is same as R17. The only thing new is the consecutive partial migration. We think this question is only for the consecutive partial migration, </w:t>
            </w:r>
            <w:proofErr w:type="gramStart"/>
            <w:r>
              <w:rPr>
                <w:rFonts w:ascii="Times New Roman" w:eastAsiaTheme="minorEastAsia" w:hAnsi="Times New Roman" w:cs="Times New Roman"/>
                <w:sz w:val="20"/>
                <w:szCs w:val="20"/>
                <w:lang w:eastAsia="zh-CN"/>
              </w:rPr>
              <w:t>i.e.</w:t>
            </w:r>
            <w:proofErr w:type="gramEnd"/>
            <w:r>
              <w:rPr>
                <w:rFonts w:ascii="Times New Roman" w:eastAsiaTheme="minorEastAsia" w:hAnsi="Times New Roman" w:cs="Times New Roman"/>
                <w:sz w:val="20"/>
                <w:szCs w:val="20"/>
                <w:lang w:eastAsia="zh-CN"/>
              </w:rPr>
              <w:t xml:space="preserve"> IAB is partial migrated from donor1 to donor2, then from donor2 to donor3. The question is which donor initiate the Xn migration procedure to donor3 when the partial migration is performed from donor2 to donor3.</w:t>
            </w:r>
          </w:p>
          <w:p w14:paraId="58617E87"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agree with Qualcomm. It is donor1 (CU1) initiate the Xn migration procedure to Donor3 (CU3).</w:t>
            </w:r>
          </w:p>
          <w:p w14:paraId="58617E88" w14:textId="77777777" w:rsidR="00A3488F" w:rsidRDefault="00A3488F">
            <w:pPr>
              <w:spacing w:before="120" w:after="0"/>
              <w:rPr>
                <w:rFonts w:ascii="Times New Roman" w:eastAsiaTheme="minorEastAsia" w:hAnsi="Times New Roman" w:cs="Times New Roman"/>
                <w:sz w:val="20"/>
                <w:szCs w:val="20"/>
                <w:lang w:eastAsia="zh-CN"/>
              </w:rPr>
            </w:pPr>
          </w:p>
        </w:tc>
      </w:tr>
      <w:tr w:rsidR="00A3488F" w14:paraId="58617E8D" w14:textId="77777777">
        <w:trPr>
          <w:trHeight w:val="342"/>
        </w:trPr>
        <w:tc>
          <w:tcPr>
            <w:tcW w:w="1378" w:type="dxa"/>
          </w:tcPr>
          <w:p w14:paraId="58617E8A"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58617E8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58617E8C"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he F1 transport migration of mobile IAB-DU is decided and triggered by the IAB-donor-CU which has the F1 connection to mobile IAB-DU.</w:t>
            </w:r>
          </w:p>
        </w:tc>
      </w:tr>
      <w:tr w:rsidR="00A3488F" w14:paraId="58617E91" w14:textId="77777777">
        <w:trPr>
          <w:trHeight w:val="342"/>
        </w:trPr>
        <w:tc>
          <w:tcPr>
            <w:tcW w:w="1378" w:type="dxa"/>
          </w:tcPr>
          <w:p w14:paraId="58617E8E"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Xiaomi</w:t>
            </w:r>
          </w:p>
        </w:tc>
        <w:tc>
          <w:tcPr>
            <w:tcW w:w="1209" w:type="dxa"/>
          </w:tcPr>
          <w:p w14:paraId="58617E8F"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Yes</w:t>
            </w:r>
          </w:p>
        </w:tc>
        <w:tc>
          <w:tcPr>
            <w:tcW w:w="7200" w:type="dxa"/>
          </w:tcPr>
          <w:p w14:paraId="58617E90"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This is aligned with R17 partial migration.</w:t>
            </w:r>
          </w:p>
        </w:tc>
      </w:tr>
      <w:tr w:rsidR="00A3488F" w14:paraId="58617E95" w14:textId="77777777">
        <w:trPr>
          <w:trHeight w:val="342"/>
        </w:trPr>
        <w:tc>
          <w:tcPr>
            <w:tcW w:w="1378" w:type="dxa"/>
          </w:tcPr>
          <w:p w14:paraId="58617E92"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58617E93"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7200" w:type="dxa"/>
          </w:tcPr>
          <w:p w14:paraId="58617E94"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 F1 transport is transferred between F1-terminating donor and mIAB-DU, so it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s reasonable that the F1 transport migration is decided and triggered by the F1-terminating donor. </w:t>
            </w:r>
          </w:p>
        </w:tc>
      </w:tr>
      <w:tr w:rsidR="00665DD5" w14:paraId="58617E9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617E96"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Samsung</w:t>
            </w:r>
          </w:p>
        </w:tc>
        <w:tc>
          <w:tcPr>
            <w:tcW w:w="1209" w:type="dxa"/>
            <w:tcBorders>
              <w:top w:val="single" w:sz="4" w:space="0" w:color="auto"/>
              <w:left w:val="single" w:sz="4" w:space="0" w:color="auto"/>
              <w:bottom w:val="single" w:sz="4" w:space="0" w:color="auto"/>
              <w:right w:val="single" w:sz="4" w:space="0" w:color="auto"/>
            </w:tcBorders>
          </w:tcPr>
          <w:p w14:paraId="58617E97"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Prefer Yes</w:t>
            </w:r>
          </w:p>
        </w:tc>
        <w:tc>
          <w:tcPr>
            <w:tcW w:w="7200" w:type="dxa"/>
            <w:tcBorders>
              <w:top w:val="single" w:sz="4" w:space="0" w:color="auto"/>
              <w:left w:val="single" w:sz="4" w:space="0" w:color="auto"/>
              <w:bottom w:val="single" w:sz="4" w:space="0" w:color="auto"/>
              <w:right w:val="single" w:sz="4" w:space="0" w:color="auto"/>
            </w:tcBorders>
          </w:tcPr>
          <w:p w14:paraId="58617E98" w14:textId="77777777" w:rsidR="00665DD5" w:rsidRDefault="00665DD5" w:rsidP="00665DD5">
            <w:pPr>
              <w:spacing w:before="120" w:after="0"/>
              <w:rPr>
                <w:rFonts w:ascii="Times New Roman" w:eastAsiaTheme="minorEastAsia" w:hAnsi="Times New Roman" w:cs="Times New Roman"/>
                <w:sz w:val="20"/>
                <w:szCs w:val="20"/>
                <w:lang w:eastAsia="zh-CN"/>
              </w:rPr>
            </w:pPr>
          </w:p>
        </w:tc>
      </w:tr>
    </w:tbl>
    <w:p w14:paraId="70814BC3" w14:textId="77777777" w:rsidR="001926FD" w:rsidRPr="00FD58F2" w:rsidRDefault="001926FD" w:rsidP="001926FD">
      <w:pPr>
        <w:spacing w:before="120" w:after="0"/>
        <w:rPr>
          <w:rFonts w:ascii="Times New Roman" w:hAnsi="Times New Roman" w:cs="Times New Roman"/>
          <w:b/>
          <w:bCs/>
          <w:color w:val="4472C4" w:themeColor="accent1"/>
          <w:sz w:val="20"/>
          <w:szCs w:val="20"/>
          <w:u w:val="single"/>
          <w:lang w:val="en-GB"/>
        </w:rPr>
      </w:pPr>
      <w:r w:rsidRPr="00FD58F2">
        <w:rPr>
          <w:rFonts w:ascii="Times New Roman" w:hAnsi="Times New Roman" w:cs="Times New Roman"/>
          <w:b/>
          <w:bCs/>
          <w:color w:val="4472C4" w:themeColor="accent1"/>
          <w:sz w:val="20"/>
          <w:szCs w:val="20"/>
          <w:u w:val="single"/>
          <w:lang w:val="en-GB"/>
        </w:rPr>
        <w:t>Summary:</w:t>
      </w:r>
    </w:p>
    <w:p w14:paraId="2B445CFF" w14:textId="139339F0" w:rsidR="001926FD" w:rsidRPr="00143C38" w:rsidRDefault="0064768E" w:rsidP="001926FD">
      <w:pPr>
        <w:spacing w:before="120" w:after="0"/>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9/10 companies in favo</w:t>
      </w:r>
      <w:r w:rsidR="00FE263B">
        <w:rPr>
          <w:rFonts w:ascii="Times New Roman" w:hAnsi="Times New Roman" w:cs="Times New Roman"/>
          <w:color w:val="0070C0"/>
          <w:sz w:val="20"/>
          <w:szCs w:val="20"/>
          <w:lang w:val="en-GB"/>
        </w:rPr>
        <w:t>u</w:t>
      </w:r>
      <w:r>
        <w:rPr>
          <w:rFonts w:ascii="Times New Roman" w:hAnsi="Times New Roman" w:cs="Times New Roman"/>
          <w:color w:val="0070C0"/>
          <w:sz w:val="20"/>
          <w:szCs w:val="20"/>
          <w:lang w:val="en-GB"/>
        </w:rPr>
        <w:t>r, one company clarifies that this is only for consecutive migrations</w:t>
      </w:r>
      <w:r w:rsidR="00FE263B">
        <w:rPr>
          <w:rFonts w:ascii="Times New Roman" w:hAnsi="Times New Roman" w:cs="Times New Roman"/>
          <w:color w:val="0070C0"/>
          <w:sz w:val="20"/>
          <w:szCs w:val="20"/>
          <w:lang w:val="en-GB"/>
        </w:rPr>
        <w:t xml:space="preserve">. </w:t>
      </w:r>
      <w:r w:rsidR="00203F1A">
        <w:rPr>
          <w:rFonts w:ascii="Times New Roman" w:hAnsi="Times New Roman" w:cs="Times New Roman"/>
          <w:color w:val="0070C0"/>
          <w:sz w:val="20"/>
          <w:szCs w:val="20"/>
          <w:lang w:val="en-GB"/>
        </w:rPr>
        <w:t>The Modera</w:t>
      </w:r>
      <w:r w:rsidR="00F60F80">
        <w:rPr>
          <w:rFonts w:ascii="Times New Roman" w:hAnsi="Times New Roman" w:cs="Times New Roman"/>
          <w:color w:val="0070C0"/>
          <w:sz w:val="20"/>
          <w:szCs w:val="20"/>
          <w:lang w:val="en-GB"/>
        </w:rPr>
        <w:t>tor wants to point out that, even at first partial migration, the F1 transport migration is triggered by F1-terminating CU.</w:t>
      </w:r>
      <w:r w:rsidR="00711D95">
        <w:rPr>
          <w:rFonts w:ascii="Times New Roman" w:hAnsi="Times New Roman" w:cs="Times New Roman"/>
          <w:color w:val="0070C0"/>
          <w:sz w:val="20"/>
          <w:szCs w:val="20"/>
          <w:lang w:val="en-GB"/>
        </w:rPr>
        <w:t xml:space="preserve"> Note that </w:t>
      </w:r>
      <w:r w:rsidR="00711D95" w:rsidRPr="00430F1F">
        <w:rPr>
          <w:rFonts w:ascii="Times New Roman" w:hAnsi="Times New Roman" w:cs="Times New Roman"/>
          <w:b/>
          <w:bCs/>
          <w:color w:val="0070C0"/>
          <w:sz w:val="20"/>
          <w:szCs w:val="20"/>
          <w:lang w:val="en-GB"/>
        </w:rPr>
        <w:t>partial migration consists of MT HO</w:t>
      </w:r>
      <w:r w:rsidR="00711D95">
        <w:rPr>
          <w:rFonts w:ascii="Times New Roman" w:hAnsi="Times New Roman" w:cs="Times New Roman"/>
          <w:color w:val="0070C0"/>
          <w:sz w:val="20"/>
          <w:szCs w:val="20"/>
          <w:lang w:val="en-GB"/>
        </w:rPr>
        <w:t xml:space="preserve"> </w:t>
      </w:r>
      <w:r w:rsidR="00711D95">
        <w:rPr>
          <w:rFonts w:ascii="Times New Roman" w:hAnsi="Times New Roman" w:cs="Times New Roman"/>
          <w:color w:val="0070C0"/>
          <w:sz w:val="20"/>
          <w:szCs w:val="20"/>
          <w:lang w:val="en-GB"/>
        </w:rPr>
        <w:t xml:space="preserve">(decided by </w:t>
      </w:r>
      <w:r w:rsidR="00711D95">
        <w:rPr>
          <w:rFonts w:ascii="Times New Roman" w:hAnsi="Times New Roman" w:cs="Times New Roman"/>
          <w:color w:val="0070C0"/>
          <w:sz w:val="20"/>
          <w:szCs w:val="20"/>
          <w:lang w:val="en-GB"/>
        </w:rPr>
        <w:t>MT’s</w:t>
      </w:r>
      <w:r w:rsidR="00711D95">
        <w:rPr>
          <w:rFonts w:ascii="Times New Roman" w:hAnsi="Times New Roman" w:cs="Times New Roman"/>
          <w:color w:val="0070C0"/>
          <w:sz w:val="20"/>
          <w:szCs w:val="20"/>
          <w:lang w:val="en-GB"/>
        </w:rPr>
        <w:t xml:space="preserve"> donor)</w:t>
      </w:r>
      <w:r w:rsidR="00711D95">
        <w:rPr>
          <w:rFonts w:ascii="Times New Roman" w:hAnsi="Times New Roman" w:cs="Times New Roman"/>
          <w:color w:val="0070C0"/>
          <w:sz w:val="20"/>
          <w:szCs w:val="20"/>
          <w:lang w:val="en-GB"/>
        </w:rPr>
        <w:t xml:space="preserve"> and </w:t>
      </w:r>
      <w:r w:rsidR="00711D95" w:rsidRPr="00430F1F">
        <w:rPr>
          <w:rFonts w:ascii="Times New Roman" w:hAnsi="Times New Roman" w:cs="Times New Roman"/>
          <w:b/>
          <w:bCs/>
          <w:color w:val="0070C0"/>
          <w:sz w:val="20"/>
          <w:szCs w:val="20"/>
          <w:lang w:val="en-GB"/>
        </w:rPr>
        <w:t>F1 transport migration</w:t>
      </w:r>
      <w:r w:rsidR="00711D95">
        <w:rPr>
          <w:rFonts w:ascii="Times New Roman" w:hAnsi="Times New Roman" w:cs="Times New Roman"/>
          <w:color w:val="0070C0"/>
          <w:sz w:val="20"/>
          <w:szCs w:val="20"/>
          <w:lang w:val="en-GB"/>
        </w:rPr>
        <w:t xml:space="preserve"> (decided by F1 terminating donor, after the MT donor triggered the MT HO).</w:t>
      </w:r>
    </w:p>
    <w:p w14:paraId="0D941224" w14:textId="36FC0949" w:rsidR="001926FD" w:rsidRDefault="001926FD" w:rsidP="001926FD">
      <w:pPr>
        <w:spacing w:before="120" w:after="0"/>
        <w:rPr>
          <w:rFonts w:ascii="Times New Roman" w:hAnsi="Times New Roman" w:cs="Times New Roman"/>
          <w:sz w:val="20"/>
          <w:szCs w:val="20"/>
        </w:rPr>
      </w:pPr>
      <w:r w:rsidRPr="00143C38">
        <w:rPr>
          <w:rFonts w:ascii="Times New Roman" w:hAnsi="Times New Roman" w:cs="Times New Roman"/>
          <w:b/>
          <w:bCs/>
          <w:color w:val="00B050"/>
          <w:sz w:val="20"/>
          <w:szCs w:val="20"/>
          <w:lang w:val="en-GB"/>
        </w:rPr>
        <w:t>Proposal 1-</w:t>
      </w:r>
      <w:r>
        <w:rPr>
          <w:rFonts w:ascii="Times New Roman" w:hAnsi="Times New Roman" w:cs="Times New Roman"/>
          <w:b/>
          <w:bCs/>
          <w:color w:val="00B050"/>
          <w:sz w:val="20"/>
          <w:szCs w:val="20"/>
          <w:lang w:val="en-GB"/>
        </w:rPr>
        <w:t>2</w:t>
      </w:r>
      <w:r w:rsidRPr="00143C38">
        <w:rPr>
          <w:rFonts w:ascii="Times New Roman" w:hAnsi="Times New Roman" w:cs="Times New Roman"/>
          <w:b/>
          <w:bCs/>
          <w:color w:val="00B050"/>
          <w:sz w:val="20"/>
          <w:szCs w:val="20"/>
          <w:lang w:val="en-GB"/>
        </w:rPr>
        <w:t>:</w:t>
      </w:r>
      <w:r w:rsidR="0064768E" w:rsidRPr="0064768E">
        <w:t xml:space="preserve"> </w:t>
      </w:r>
      <w:r w:rsidR="0064768E" w:rsidRPr="0064768E">
        <w:rPr>
          <w:rFonts w:ascii="Times New Roman" w:hAnsi="Times New Roman" w:cs="Times New Roman"/>
          <w:b/>
          <w:bCs/>
          <w:color w:val="00B050"/>
          <w:sz w:val="20"/>
          <w:szCs w:val="20"/>
          <w:lang w:val="en-GB"/>
        </w:rPr>
        <w:t>For inter-donor partial migration, the donor CU serving the mIAB-DU decides and triggers the inter-donor F1 transport migration for the mIAB-DU.</w:t>
      </w:r>
    </w:p>
    <w:p w14:paraId="0A6EE0A3" w14:textId="77777777" w:rsidR="001926FD" w:rsidRDefault="001926FD">
      <w:pPr>
        <w:spacing w:before="120" w:after="0"/>
        <w:rPr>
          <w:rFonts w:ascii="Times New Roman" w:hAnsi="Times New Roman" w:cs="Times New Roman"/>
          <w:sz w:val="20"/>
          <w:szCs w:val="20"/>
        </w:rPr>
      </w:pPr>
    </w:p>
    <w:p w14:paraId="29CE7593" w14:textId="77777777" w:rsidR="001926FD" w:rsidRDefault="001926FD">
      <w:pPr>
        <w:spacing w:before="120" w:after="0"/>
        <w:rPr>
          <w:rFonts w:ascii="Times New Roman" w:hAnsi="Times New Roman" w:cs="Times New Roman"/>
          <w:sz w:val="20"/>
          <w:szCs w:val="20"/>
        </w:rPr>
      </w:pPr>
    </w:p>
    <w:p w14:paraId="58617EAE" w14:textId="5AAC949F" w:rsidR="00A3488F" w:rsidRDefault="00D4377D">
      <w:pPr>
        <w:spacing w:before="120" w:after="0"/>
        <w:rPr>
          <w:rFonts w:ascii="Times New Roman" w:hAnsi="Times New Roman" w:cs="Times New Roman"/>
          <w:color w:val="000000"/>
          <w:sz w:val="20"/>
          <w:szCs w:val="20"/>
          <w:lang w:val="en-GB"/>
        </w:rPr>
      </w:pPr>
      <w:r>
        <w:rPr>
          <w:rFonts w:ascii="Times New Roman" w:hAnsi="Times New Roman" w:cs="Times New Roman"/>
          <w:sz w:val="20"/>
          <w:szCs w:val="20"/>
        </w:rPr>
        <w:t>However, to be able to trigger inter-donor F1 transport migration for the mIAB-DU, the donor CU serving the mIAB-DU needs to be notified about the imminent inter-donor HO of the co-located mIAB-</w:t>
      </w:r>
      <w:r w:rsidR="007728BC">
        <w:rPr>
          <w:rFonts w:ascii="Times New Roman" w:hAnsi="Times New Roman" w:cs="Times New Roman"/>
          <w:sz w:val="20"/>
          <w:szCs w:val="20"/>
        </w:rPr>
        <w:t>MT</w:t>
      </w:r>
      <w:r>
        <w:rPr>
          <w:rFonts w:ascii="Times New Roman" w:hAnsi="Times New Roman" w:cs="Times New Roman"/>
          <w:sz w:val="20"/>
          <w:szCs w:val="20"/>
        </w:rPr>
        <w:t xml:space="preserve">. This issue was raised in </w:t>
      </w:r>
      <w:r>
        <w:rPr>
          <w:rFonts w:ascii="Times New Roman" w:hAnsi="Times New Roman" w:cs="Times New Roman"/>
          <w:color w:val="000000"/>
          <w:sz w:val="20"/>
          <w:szCs w:val="20"/>
          <w:lang w:val="en-GB"/>
        </w:rPr>
        <w:t xml:space="preserve">[ZTE5439], [Sam5714], [Nok5454], [Fuj5434] and </w:t>
      </w:r>
      <w:r>
        <w:rPr>
          <w:rFonts w:ascii="Times New Roman" w:hAnsi="Times New Roman" w:cs="Times New Roman"/>
          <w:color w:val="000000"/>
          <w:sz w:val="20"/>
          <w:szCs w:val="20"/>
        </w:rPr>
        <w:t>[Xmi5752]</w:t>
      </w:r>
      <w:r>
        <w:rPr>
          <w:rFonts w:ascii="Times New Roman" w:hAnsi="Times New Roman" w:cs="Times New Roman"/>
          <w:color w:val="000000"/>
          <w:sz w:val="20"/>
          <w:szCs w:val="20"/>
          <w:lang w:val="en-GB"/>
        </w:rPr>
        <w:t>. The Moderator makes the following initial proposal, based on the proposal from [Nok5454]:</w:t>
      </w:r>
    </w:p>
    <w:p w14:paraId="58617EAF" w14:textId="77777777" w:rsidR="00A3488F" w:rsidRDefault="00D4377D">
      <w:pPr>
        <w:spacing w:before="120" w:after="0"/>
        <w:rPr>
          <w:rFonts w:ascii="Times New Roman" w:hAnsi="Times New Roman" w:cs="Times New Roman"/>
          <w:b/>
          <w:bCs/>
          <w:color w:val="000000"/>
          <w:sz w:val="20"/>
          <w:szCs w:val="20"/>
          <w:lang w:val="en-GB"/>
        </w:rPr>
      </w:pPr>
      <w:r>
        <w:rPr>
          <w:rFonts w:ascii="Times New Roman" w:hAnsi="Times New Roman" w:cs="Times New Roman"/>
          <w:b/>
          <w:bCs/>
          <w:sz w:val="20"/>
          <w:szCs w:val="20"/>
        </w:rPr>
        <w:t xml:space="preserve">Potential proposal 1-3: </w:t>
      </w:r>
      <w:r>
        <w:rPr>
          <w:rFonts w:ascii="Times New Roman" w:hAnsi="Times New Roman" w:cs="Times New Roman"/>
          <w:b/>
          <w:bCs/>
          <w:color w:val="000000"/>
          <w:sz w:val="20"/>
          <w:szCs w:val="20"/>
          <w:lang w:val="en-GB"/>
        </w:rPr>
        <w:t>For inter-donor partial migration, the source donor CU for the inter-donor mIAB-MT HO informs the</w:t>
      </w:r>
      <w:r>
        <w:rPr>
          <w:rFonts w:ascii="Times New Roman" w:hAnsi="Times New Roman" w:cs="Times New Roman"/>
          <w:b/>
          <w:bCs/>
          <w:sz w:val="20"/>
          <w:szCs w:val="20"/>
        </w:rPr>
        <w:t xml:space="preserve"> </w:t>
      </w:r>
      <w:r>
        <w:rPr>
          <w:rFonts w:ascii="Times New Roman" w:hAnsi="Times New Roman" w:cs="Times New Roman"/>
          <w:b/>
          <w:bCs/>
          <w:color w:val="000000"/>
          <w:sz w:val="20"/>
          <w:szCs w:val="20"/>
          <w:lang w:val="en-GB"/>
        </w:rPr>
        <w:t>donor CU serving the mIAB-DU about the mIAB-MT HO</w:t>
      </w:r>
      <w:r>
        <w:rPr>
          <w:rFonts w:ascii="Times New Roman" w:hAnsi="Times New Roman" w:cs="Times New Roman"/>
          <w:b/>
          <w:bCs/>
          <w:sz w:val="20"/>
          <w:szCs w:val="20"/>
        </w:rPr>
        <w:t>.</w:t>
      </w:r>
    </w:p>
    <w:p w14:paraId="58617EB0"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Q1-3: Do you agree to Potential proposal 1-3?</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A3488F" w14:paraId="58617EB4" w14:textId="77777777">
        <w:trPr>
          <w:trHeight w:val="325"/>
        </w:trPr>
        <w:tc>
          <w:tcPr>
            <w:tcW w:w="1378" w:type="dxa"/>
          </w:tcPr>
          <w:p w14:paraId="58617EB1"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8617EB2"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8617EB3"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3488F" w14:paraId="58617EB8" w14:textId="77777777">
        <w:trPr>
          <w:trHeight w:val="357"/>
        </w:trPr>
        <w:tc>
          <w:tcPr>
            <w:tcW w:w="1378" w:type="dxa"/>
          </w:tcPr>
          <w:p w14:paraId="58617EB5"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58617EB6"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58617EB7" w14:textId="77777777" w:rsidR="00A3488F" w:rsidRDefault="00A3488F">
            <w:pPr>
              <w:spacing w:before="120" w:after="0"/>
              <w:rPr>
                <w:rFonts w:ascii="Times New Roman" w:hAnsi="Times New Roman" w:cs="Times New Roman"/>
                <w:sz w:val="20"/>
                <w:szCs w:val="20"/>
                <w:lang w:val="en-GB"/>
              </w:rPr>
            </w:pPr>
          </w:p>
        </w:tc>
      </w:tr>
      <w:tr w:rsidR="00A3488F" w14:paraId="58617EBC" w14:textId="77777777">
        <w:trPr>
          <w:trHeight w:val="342"/>
        </w:trPr>
        <w:tc>
          <w:tcPr>
            <w:tcW w:w="1378" w:type="dxa"/>
          </w:tcPr>
          <w:p w14:paraId="58617EB9"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H</w:t>
            </w:r>
            <w:r>
              <w:rPr>
                <w:rFonts w:ascii="Times New Roman" w:eastAsiaTheme="minorEastAsia" w:hAnsi="Times New Roman" w:cs="Times New Roman"/>
                <w:sz w:val="20"/>
                <w:szCs w:val="20"/>
                <w:lang w:val="en-GB" w:eastAsia="zh-CN"/>
              </w:rPr>
              <w:t>uawei</w:t>
            </w:r>
          </w:p>
        </w:tc>
        <w:tc>
          <w:tcPr>
            <w:tcW w:w="1209" w:type="dxa"/>
          </w:tcPr>
          <w:p w14:paraId="58617EBA" w14:textId="77777777" w:rsidR="00A3488F" w:rsidRDefault="00D4377D">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sz w:val="20"/>
                <w:szCs w:val="20"/>
                <w:lang w:val="en-GB" w:eastAsia="zh-CN"/>
              </w:rPr>
              <w:t>Depends</w:t>
            </w:r>
            <w:proofErr w:type="gramEnd"/>
            <w:r>
              <w:rPr>
                <w:rFonts w:ascii="Times New Roman" w:eastAsiaTheme="minorEastAsia" w:hAnsi="Times New Roman" w:cs="Times New Roman"/>
                <w:sz w:val="20"/>
                <w:szCs w:val="20"/>
                <w:lang w:val="en-GB" w:eastAsia="zh-CN"/>
              </w:rPr>
              <w:t xml:space="preserve"> </w:t>
            </w:r>
          </w:p>
        </w:tc>
        <w:tc>
          <w:tcPr>
            <w:tcW w:w="7200" w:type="dxa"/>
          </w:tcPr>
          <w:p w14:paraId="58617EB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the target donor CU is selected by the source CU of the IAB-MT, the potential proposal 1-3 is agreeable. Otherwise, such notification may not necessary since the F1 terminating donor select the target donor CU, and it can inform the source CU of the IAB-MT to perform IAB-MT HO.</w:t>
            </w:r>
          </w:p>
        </w:tc>
      </w:tr>
      <w:tr w:rsidR="00A3488F" w14:paraId="58617EC2" w14:textId="77777777">
        <w:trPr>
          <w:trHeight w:val="325"/>
        </w:trPr>
        <w:tc>
          <w:tcPr>
            <w:tcW w:w="1378" w:type="dxa"/>
          </w:tcPr>
          <w:p w14:paraId="58617EBD"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58617EBE"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7EC1" w14:textId="0175F81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Again, as we stated under Q1-2, this is necessary so that the IAB-DU’s CU (</w:t>
            </w:r>
            <w:r>
              <w:rPr>
                <w:rFonts w:ascii="Times New Roman" w:eastAsiaTheme="minorEastAsia" w:hAnsi="Times New Roman" w:cs="Times New Roman"/>
                <w:b/>
                <w:bCs/>
                <w:sz w:val="20"/>
                <w:szCs w:val="20"/>
                <w:lang w:val="en-GB" w:eastAsia="zh-CN"/>
              </w:rPr>
              <w:t>CU1</w:t>
            </w:r>
            <w:r>
              <w:rPr>
                <w:rFonts w:ascii="Times New Roman" w:eastAsiaTheme="minorEastAsia" w:hAnsi="Times New Roman" w:cs="Times New Roman"/>
                <w:sz w:val="20"/>
                <w:szCs w:val="20"/>
                <w:lang w:val="en-GB" w:eastAsia="zh-CN"/>
              </w:rPr>
              <w:t>) can migrate the traffic to the IAB-MT’s new target CU (</w:t>
            </w:r>
            <w:r>
              <w:rPr>
                <w:rFonts w:ascii="Times New Roman" w:eastAsiaTheme="minorEastAsia" w:hAnsi="Times New Roman" w:cs="Times New Roman"/>
                <w:b/>
                <w:bCs/>
                <w:sz w:val="20"/>
                <w:szCs w:val="20"/>
                <w:lang w:val="en-GB" w:eastAsia="zh-CN"/>
              </w:rPr>
              <w:t>CU3</w:t>
            </w:r>
            <w:r>
              <w:rPr>
                <w:rFonts w:ascii="Times New Roman" w:eastAsiaTheme="minorEastAsia" w:hAnsi="Times New Roman" w:cs="Times New Roman"/>
                <w:sz w:val="20"/>
                <w:szCs w:val="20"/>
                <w:lang w:val="en-GB" w:eastAsia="zh-CN"/>
              </w:rPr>
              <w:t>).</w:t>
            </w:r>
          </w:p>
        </w:tc>
      </w:tr>
      <w:tr w:rsidR="00A3488F" w14:paraId="58617EC6" w14:textId="77777777">
        <w:trPr>
          <w:trHeight w:val="342"/>
        </w:trPr>
        <w:tc>
          <w:tcPr>
            <w:tcW w:w="1378" w:type="dxa"/>
          </w:tcPr>
          <w:p w14:paraId="58617EC3"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58617EC4"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ee comment</w:t>
            </w:r>
          </w:p>
        </w:tc>
        <w:tc>
          <w:tcPr>
            <w:tcW w:w="7200" w:type="dxa"/>
          </w:tcPr>
          <w:p w14:paraId="58617EC5"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think another option should also be on the table for discussion. </w:t>
            </w:r>
            <w:r w:rsidRPr="00122BFE">
              <w:rPr>
                <w:rFonts w:ascii="Times New Roman" w:eastAsiaTheme="minorEastAsia" w:hAnsi="Times New Roman" w:cs="Times New Roman"/>
                <w:b/>
                <w:bCs/>
                <w:sz w:val="20"/>
                <w:szCs w:val="20"/>
                <w:lang w:val="en-GB" w:eastAsia="zh-CN"/>
              </w:rPr>
              <w:t>The mIAB node may inform the F1-terminating donor CU about the mIAB-MT HO.</w:t>
            </w:r>
            <w:r>
              <w:rPr>
                <w:rFonts w:ascii="Times New Roman" w:eastAsiaTheme="minorEastAsia" w:hAnsi="Times New Roman" w:cs="Times New Roman"/>
                <w:sz w:val="20"/>
                <w:szCs w:val="20"/>
                <w:lang w:val="en-GB" w:eastAsia="zh-CN"/>
              </w:rPr>
              <w:t xml:space="preserve"> This can be achieved by enhancement of the F1-C </w:t>
            </w:r>
            <w:proofErr w:type="spellStart"/>
            <w:r>
              <w:rPr>
                <w:rFonts w:ascii="Times New Roman" w:eastAsiaTheme="minorEastAsia" w:hAnsi="Times New Roman" w:cs="Times New Roman"/>
                <w:sz w:val="20"/>
                <w:szCs w:val="20"/>
                <w:lang w:val="en-GB" w:eastAsia="zh-CN"/>
              </w:rPr>
              <w:t>signaling</w:t>
            </w:r>
            <w:proofErr w:type="spellEnd"/>
            <w:r>
              <w:rPr>
                <w:rFonts w:ascii="Times New Roman" w:eastAsiaTheme="minorEastAsia" w:hAnsi="Times New Roman" w:cs="Times New Roman"/>
                <w:sz w:val="20"/>
                <w:szCs w:val="20"/>
                <w:lang w:val="en-GB" w:eastAsia="zh-CN"/>
              </w:rPr>
              <w:t xml:space="preserve"> by adding the target gNB id or cell id of the mIAB-MT in the F1-C message. The mIAB-DU will report the new F1-U TNL info to the F1-terminating donor-CU after the mIAB-MT HO. If we enhance this F1-C procedure (gNB-DU Configuration Update) to inform the F1-terminating donor about the mIAB-MT HO, there is no need for the source donor-CU of the mIAB-MT to inform the F1-terminating donor, thus can save a </w:t>
            </w:r>
            <w:proofErr w:type="spellStart"/>
            <w:r>
              <w:rPr>
                <w:rFonts w:ascii="Times New Roman" w:eastAsiaTheme="minorEastAsia" w:hAnsi="Times New Roman" w:cs="Times New Roman"/>
                <w:sz w:val="20"/>
                <w:szCs w:val="20"/>
                <w:lang w:val="en-GB" w:eastAsia="zh-CN"/>
              </w:rPr>
              <w:t>signaling</w:t>
            </w:r>
            <w:proofErr w:type="spellEnd"/>
            <w:r>
              <w:rPr>
                <w:rFonts w:ascii="Times New Roman" w:eastAsiaTheme="minorEastAsia" w:hAnsi="Times New Roman" w:cs="Times New Roman"/>
                <w:sz w:val="20"/>
                <w:szCs w:val="20"/>
                <w:lang w:val="en-GB" w:eastAsia="zh-CN"/>
              </w:rPr>
              <w:t xml:space="preserve"> step.</w:t>
            </w:r>
          </w:p>
        </w:tc>
      </w:tr>
      <w:tr w:rsidR="00A3488F" w14:paraId="58617ECA" w14:textId="77777777">
        <w:trPr>
          <w:trHeight w:val="325"/>
        </w:trPr>
        <w:tc>
          <w:tcPr>
            <w:tcW w:w="1378" w:type="dxa"/>
          </w:tcPr>
          <w:p w14:paraId="58617EC7" w14:textId="77777777" w:rsidR="00A3488F" w:rsidRDefault="00D4377D">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1209" w:type="dxa"/>
          </w:tcPr>
          <w:p w14:paraId="58617EC8"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7EC9"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This is a clean way for F1-terminating CU to have the latest context for the mIAB and it can potentially trigger full migration.</w:t>
            </w:r>
          </w:p>
        </w:tc>
      </w:tr>
      <w:tr w:rsidR="00A3488F" w14:paraId="58617ECE" w14:textId="77777777">
        <w:trPr>
          <w:trHeight w:val="342"/>
        </w:trPr>
        <w:tc>
          <w:tcPr>
            <w:tcW w:w="1378" w:type="dxa"/>
          </w:tcPr>
          <w:p w14:paraId="58617EC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58617ECC"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7ECD" w14:textId="77777777" w:rsidR="00A3488F" w:rsidRDefault="00A3488F">
            <w:pPr>
              <w:spacing w:before="120" w:after="0"/>
              <w:rPr>
                <w:rFonts w:ascii="Times New Roman" w:eastAsiaTheme="minorEastAsia" w:hAnsi="Times New Roman" w:cs="Times New Roman"/>
                <w:sz w:val="20"/>
                <w:szCs w:val="20"/>
                <w:lang w:eastAsia="zh-CN"/>
              </w:rPr>
            </w:pPr>
          </w:p>
        </w:tc>
      </w:tr>
      <w:tr w:rsidR="00A3488F" w14:paraId="58617ED2" w14:textId="77777777">
        <w:trPr>
          <w:trHeight w:val="342"/>
        </w:trPr>
        <w:tc>
          <w:tcPr>
            <w:tcW w:w="1378" w:type="dxa"/>
          </w:tcPr>
          <w:p w14:paraId="58617ECF"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58617ED0"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ee comments</w:t>
            </w:r>
          </w:p>
        </w:tc>
        <w:tc>
          <w:tcPr>
            <w:tcW w:w="7200" w:type="dxa"/>
          </w:tcPr>
          <w:p w14:paraId="58617ED1"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Both the source donor CU and mobile IAB-node can inform the IAB-MT HO to the F1-terminating CU.</w:t>
            </w:r>
          </w:p>
        </w:tc>
      </w:tr>
      <w:tr w:rsidR="00A3488F" w14:paraId="58617ED7" w14:textId="77777777">
        <w:trPr>
          <w:trHeight w:val="342"/>
        </w:trPr>
        <w:tc>
          <w:tcPr>
            <w:tcW w:w="1378" w:type="dxa"/>
          </w:tcPr>
          <w:p w14:paraId="58617ED3"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Xiaomi</w:t>
            </w:r>
          </w:p>
        </w:tc>
        <w:tc>
          <w:tcPr>
            <w:tcW w:w="1209" w:type="dxa"/>
          </w:tcPr>
          <w:p w14:paraId="58617ED4"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See comments</w:t>
            </w:r>
          </w:p>
        </w:tc>
        <w:tc>
          <w:tcPr>
            <w:tcW w:w="7200" w:type="dxa"/>
          </w:tcPr>
          <w:p w14:paraId="58617ED5"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with </w:t>
            </w: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ujitsu and Lenovo, besides source donor CU and mobile IAB-node can inform the IAB-MT HO to the F1-terminating CU, we think the target donor-CU can also notify this information after IAB-MT’s HO. We can discuss how to let the F1-terminating donor-CU know this information when we have a clear stage2 procedure in mind, thus, we suggest </w:t>
            </w:r>
            <w:proofErr w:type="gramStart"/>
            <w:r>
              <w:rPr>
                <w:rFonts w:ascii="Times New Roman" w:eastAsiaTheme="minorEastAsia" w:hAnsi="Times New Roman" w:cs="Times New Roman"/>
                <w:sz w:val="20"/>
                <w:szCs w:val="20"/>
                <w:lang w:val="en-GB" w:eastAsia="zh-CN"/>
              </w:rPr>
              <w:t>to reword</w:t>
            </w:r>
            <w:proofErr w:type="gramEnd"/>
            <w:r>
              <w:rPr>
                <w:rFonts w:ascii="Times New Roman" w:eastAsiaTheme="minorEastAsia" w:hAnsi="Times New Roman" w:cs="Times New Roman"/>
                <w:sz w:val="20"/>
                <w:szCs w:val="20"/>
                <w:lang w:val="en-GB" w:eastAsia="zh-CN"/>
              </w:rPr>
              <w:t xml:space="preserve"> the proposal as follows:</w:t>
            </w:r>
          </w:p>
          <w:p w14:paraId="58617ED6"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szCs w:val="20"/>
                <w:lang w:val="en-GB" w:eastAsia="zh-CN"/>
              </w:rPr>
              <w:t>the F1-terminating donor-CU should be notified about the mIAB-MT HO, FFS on how.</w:t>
            </w:r>
          </w:p>
        </w:tc>
      </w:tr>
      <w:tr w:rsidR="00A3488F" w14:paraId="58617EDB" w14:textId="77777777">
        <w:trPr>
          <w:trHeight w:val="342"/>
        </w:trPr>
        <w:tc>
          <w:tcPr>
            <w:tcW w:w="1378" w:type="dxa"/>
          </w:tcPr>
          <w:p w14:paraId="58617ED8"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58617ED9"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Yes </w:t>
            </w:r>
          </w:p>
        </w:tc>
        <w:tc>
          <w:tcPr>
            <w:tcW w:w="7200" w:type="dxa"/>
          </w:tcPr>
          <w:p w14:paraId="58617EDA"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Even if the target cell of MT HO is determined by the F1-terminating donor, the F1-terminating donor needs to be informed of the MT HO. </w:t>
            </w:r>
          </w:p>
        </w:tc>
      </w:tr>
      <w:tr w:rsidR="00665DD5" w14:paraId="58617ED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617EDC"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58617EDD"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Borders>
              <w:top w:val="single" w:sz="4" w:space="0" w:color="auto"/>
              <w:left w:val="single" w:sz="4" w:space="0" w:color="auto"/>
              <w:bottom w:val="single" w:sz="4" w:space="0" w:color="auto"/>
              <w:right w:val="single" w:sz="4" w:space="0" w:color="auto"/>
            </w:tcBorders>
          </w:tcPr>
          <w:p w14:paraId="58617EDE"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See comments in </w:t>
            </w:r>
            <w:r w:rsidRPr="0023789F">
              <w:rPr>
                <w:rFonts w:ascii="Times New Roman" w:eastAsiaTheme="minorEastAsia" w:hAnsi="Times New Roman" w:cs="Times New Roman"/>
                <w:sz w:val="20"/>
                <w:szCs w:val="20"/>
                <w:lang w:val="en-GB" w:eastAsia="zh-CN"/>
              </w:rPr>
              <w:t>proposal 1-1</w:t>
            </w:r>
            <w:r>
              <w:rPr>
                <w:rFonts w:ascii="Times New Roman" w:eastAsiaTheme="minorEastAsia" w:hAnsi="Times New Roman" w:cs="Times New Roman"/>
                <w:sz w:val="20"/>
                <w:szCs w:val="20"/>
                <w:lang w:val="en-GB" w:eastAsia="zh-CN"/>
              </w:rPr>
              <w:t>.</w:t>
            </w:r>
          </w:p>
        </w:tc>
      </w:tr>
    </w:tbl>
    <w:p w14:paraId="10065A98" w14:textId="77777777" w:rsidR="00FD58F2" w:rsidRPr="00FD58F2" w:rsidRDefault="00FD58F2" w:rsidP="00FD58F2">
      <w:pPr>
        <w:spacing w:before="120" w:after="0"/>
        <w:rPr>
          <w:rFonts w:ascii="Times New Roman" w:hAnsi="Times New Roman" w:cs="Times New Roman"/>
          <w:b/>
          <w:bCs/>
          <w:color w:val="4472C4" w:themeColor="accent1"/>
          <w:sz w:val="20"/>
          <w:szCs w:val="20"/>
          <w:u w:val="single"/>
          <w:lang w:val="en-GB"/>
        </w:rPr>
      </w:pPr>
      <w:r w:rsidRPr="00FD58F2">
        <w:rPr>
          <w:rFonts w:ascii="Times New Roman" w:hAnsi="Times New Roman" w:cs="Times New Roman"/>
          <w:b/>
          <w:bCs/>
          <w:color w:val="4472C4" w:themeColor="accent1"/>
          <w:sz w:val="20"/>
          <w:szCs w:val="20"/>
          <w:u w:val="single"/>
          <w:lang w:val="en-GB"/>
        </w:rPr>
        <w:t>Summary:</w:t>
      </w:r>
    </w:p>
    <w:p w14:paraId="5ECE36BC" w14:textId="6DD19421" w:rsidR="00FD58F2" w:rsidRPr="00143C38" w:rsidRDefault="00B977E4" w:rsidP="00FD58F2">
      <w:pPr>
        <w:spacing w:before="120" w:after="0"/>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 xml:space="preserve">There is a consensus about the indication, but not about who should deliver it. </w:t>
      </w:r>
      <w:r w:rsidR="00656D0B">
        <w:rPr>
          <w:rFonts w:ascii="Times New Roman" w:hAnsi="Times New Roman" w:cs="Times New Roman"/>
          <w:color w:val="0070C0"/>
          <w:sz w:val="20"/>
          <w:szCs w:val="20"/>
          <w:lang w:val="en-GB"/>
        </w:rPr>
        <w:t xml:space="preserve">As </w:t>
      </w:r>
      <w:r w:rsidR="00740F2F">
        <w:rPr>
          <w:rFonts w:ascii="Times New Roman" w:hAnsi="Times New Roman" w:cs="Times New Roman"/>
          <w:color w:val="0070C0"/>
          <w:sz w:val="20"/>
          <w:szCs w:val="20"/>
          <w:lang w:val="en-GB"/>
        </w:rPr>
        <w:t xml:space="preserve">per Huawei’s comment, it should be noted that this is for partial migration, and DU’s donor should not influence the </w:t>
      </w:r>
      <w:r w:rsidR="009435BF">
        <w:rPr>
          <w:rFonts w:ascii="Times New Roman" w:hAnsi="Times New Roman" w:cs="Times New Roman"/>
          <w:color w:val="0070C0"/>
          <w:sz w:val="20"/>
          <w:szCs w:val="20"/>
          <w:lang w:val="en-GB"/>
        </w:rPr>
        <w:t xml:space="preserve">choice of target for MT HO in partial migration. </w:t>
      </w:r>
      <w:r>
        <w:rPr>
          <w:rFonts w:ascii="Times New Roman" w:hAnsi="Times New Roman" w:cs="Times New Roman"/>
          <w:color w:val="0070C0"/>
          <w:sz w:val="20"/>
          <w:szCs w:val="20"/>
          <w:lang w:val="en-GB"/>
        </w:rPr>
        <w:t xml:space="preserve">We </w:t>
      </w:r>
      <w:r w:rsidR="00303C98">
        <w:rPr>
          <w:rFonts w:ascii="Times New Roman" w:hAnsi="Times New Roman" w:cs="Times New Roman"/>
          <w:color w:val="0070C0"/>
          <w:sz w:val="20"/>
          <w:szCs w:val="20"/>
          <w:lang w:val="en-GB"/>
        </w:rPr>
        <w:t xml:space="preserve">make a proposal based </w:t>
      </w:r>
      <w:r w:rsidR="00B75052">
        <w:rPr>
          <w:rFonts w:ascii="Times New Roman" w:hAnsi="Times New Roman" w:cs="Times New Roman"/>
          <w:color w:val="0070C0"/>
          <w:sz w:val="20"/>
          <w:szCs w:val="20"/>
          <w:lang w:val="en-GB"/>
        </w:rPr>
        <w:t>on Xiaomi’s suggestion:</w:t>
      </w:r>
    </w:p>
    <w:p w14:paraId="7A2E095B" w14:textId="58040BAC" w:rsidR="009435BF" w:rsidRPr="009435BF" w:rsidRDefault="00FD58F2" w:rsidP="009435BF">
      <w:pPr>
        <w:spacing w:before="120" w:after="0"/>
        <w:rPr>
          <w:rFonts w:ascii="Times New Roman" w:hAnsi="Times New Roman" w:cs="Times New Roman"/>
          <w:b/>
          <w:bCs/>
          <w:color w:val="00B050"/>
          <w:sz w:val="20"/>
          <w:szCs w:val="20"/>
          <w:lang w:val="en-GB"/>
        </w:rPr>
      </w:pPr>
      <w:r w:rsidRPr="009435BF">
        <w:rPr>
          <w:rFonts w:ascii="Times New Roman" w:hAnsi="Times New Roman" w:cs="Times New Roman"/>
          <w:b/>
          <w:bCs/>
          <w:color w:val="00B050"/>
          <w:sz w:val="20"/>
          <w:szCs w:val="20"/>
          <w:lang w:val="en-GB"/>
        </w:rPr>
        <w:t>Proposal 1-</w:t>
      </w:r>
      <w:r w:rsidRPr="009435BF">
        <w:rPr>
          <w:rFonts w:ascii="Times New Roman" w:hAnsi="Times New Roman" w:cs="Times New Roman"/>
          <w:b/>
          <w:bCs/>
          <w:color w:val="00B050"/>
          <w:sz w:val="20"/>
          <w:szCs w:val="20"/>
          <w:lang w:val="en-GB"/>
        </w:rPr>
        <w:t>3:</w:t>
      </w:r>
      <w:r w:rsidR="009435BF" w:rsidRPr="009435BF">
        <w:rPr>
          <w:rFonts w:ascii="Times New Roman" w:hAnsi="Times New Roman" w:cs="Times New Roman"/>
          <w:b/>
          <w:bCs/>
          <w:color w:val="00B050"/>
          <w:sz w:val="20"/>
          <w:szCs w:val="20"/>
          <w:lang w:val="en-GB"/>
        </w:rPr>
        <w:t xml:space="preserve"> </w:t>
      </w:r>
      <w:r w:rsidR="009435BF" w:rsidRPr="009435BF">
        <w:rPr>
          <w:rFonts w:ascii="Times New Roman" w:hAnsi="Times New Roman" w:cs="Times New Roman"/>
          <w:b/>
          <w:bCs/>
          <w:color w:val="00B050"/>
          <w:sz w:val="20"/>
          <w:szCs w:val="20"/>
          <w:lang w:val="en-GB"/>
        </w:rPr>
        <w:t xml:space="preserve">For inter-donor partial migration, the donor CU serving the mIAB-DU </w:t>
      </w:r>
      <w:r w:rsidR="009435BF" w:rsidRPr="009435BF">
        <w:rPr>
          <w:rFonts w:ascii="Times New Roman" w:hAnsi="Times New Roman" w:cs="Times New Roman"/>
          <w:b/>
          <w:bCs/>
          <w:color w:val="00B050"/>
          <w:sz w:val="20"/>
          <w:szCs w:val="20"/>
          <w:lang w:val="en-GB"/>
        </w:rPr>
        <w:t xml:space="preserve">is informed </w:t>
      </w:r>
      <w:r w:rsidR="009435BF" w:rsidRPr="009435BF">
        <w:rPr>
          <w:rFonts w:ascii="Times New Roman" w:hAnsi="Times New Roman" w:cs="Times New Roman"/>
          <w:b/>
          <w:bCs/>
          <w:color w:val="00B050"/>
          <w:sz w:val="20"/>
          <w:szCs w:val="20"/>
          <w:lang w:val="en-GB"/>
        </w:rPr>
        <w:t>about the mIAB-MT HO</w:t>
      </w:r>
      <w:r w:rsidR="009435BF" w:rsidRPr="009435BF">
        <w:rPr>
          <w:rFonts w:ascii="Times New Roman" w:hAnsi="Times New Roman" w:cs="Times New Roman"/>
          <w:b/>
          <w:bCs/>
          <w:color w:val="00B050"/>
          <w:sz w:val="20"/>
          <w:szCs w:val="20"/>
        </w:rPr>
        <w:t>.</w:t>
      </w:r>
      <w:r w:rsidR="009435BF" w:rsidRPr="009435BF">
        <w:rPr>
          <w:rFonts w:ascii="Times New Roman" w:hAnsi="Times New Roman" w:cs="Times New Roman"/>
          <w:b/>
          <w:bCs/>
          <w:color w:val="00B050"/>
          <w:sz w:val="20"/>
          <w:szCs w:val="20"/>
        </w:rPr>
        <w:t xml:space="preserve"> FFS how the indication is delivered.</w:t>
      </w:r>
    </w:p>
    <w:p w14:paraId="58617EF4" w14:textId="1927A1FA" w:rsidR="00A3488F" w:rsidRDefault="00D4377D">
      <w:pPr>
        <w:spacing w:before="120"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For setting up resources for inter-donor F1 transport migration, the donor CU serving the mIAB-DU and the target donor CU for the mIAB-MT HO need to coordinate. It needs to be discussed how does the two donor CUs “find each other” (as formulated in [Xmi5752]). </w:t>
      </w:r>
      <w:r>
        <w:rPr>
          <w:rFonts w:ascii="Times New Roman" w:hAnsi="Times New Roman" w:cs="Times New Roman"/>
          <w:color w:val="000000"/>
          <w:sz w:val="20"/>
          <w:szCs w:val="20"/>
          <w:u w:val="single"/>
          <w:lang w:val="en-GB"/>
        </w:rPr>
        <w:t>Assuming the previous proposal is agreeable</w:t>
      </w:r>
      <w:r>
        <w:rPr>
          <w:rFonts w:ascii="Times New Roman" w:hAnsi="Times New Roman" w:cs="Times New Roman"/>
          <w:color w:val="000000"/>
          <w:sz w:val="20"/>
          <w:szCs w:val="20"/>
          <w:lang w:val="en-GB"/>
        </w:rPr>
        <w:t xml:space="preserve">, the “contact details” of the target donor CU for the mIAB-MT HO can be provided to the donor CU serving the mIAB-DU by the source donor CU for the mIAB-MT HO. </w:t>
      </w:r>
    </w:p>
    <w:p w14:paraId="58617EF5" w14:textId="77777777" w:rsidR="00A3488F" w:rsidRDefault="00D4377D">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lastRenderedPageBreak/>
        <w:t xml:space="preserve">Q1-4: Which “contact details” </w:t>
      </w:r>
      <w:r>
        <w:rPr>
          <w:rFonts w:ascii="Times New Roman" w:hAnsi="Times New Roman" w:cs="Times New Roman"/>
          <w:b/>
          <w:bCs/>
          <w:color w:val="000000"/>
          <w:sz w:val="20"/>
          <w:szCs w:val="20"/>
          <w:lang w:val="en-GB"/>
        </w:rPr>
        <w:t>of the target donor CU for the mIAB-MT HO are provided to the donor CU serving the mIAB-DU by the source donor CU for the mIAB-MT HO</w:t>
      </w:r>
      <w:r>
        <w:rPr>
          <w:rFonts w:ascii="Times New Roman" w:hAnsi="Times New Roman" w:cs="Times New Roman"/>
          <w:b/>
          <w:bCs/>
          <w:sz w:val="20"/>
          <w:szCs w:val="22"/>
          <w:lang w:val="en-GB"/>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8432"/>
      </w:tblGrid>
      <w:tr w:rsidR="00A3488F" w14:paraId="58617EF8" w14:textId="77777777">
        <w:trPr>
          <w:trHeight w:val="325"/>
        </w:trPr>
        <w:tc>
          <w:tcPr>
            <w:tcW w:w="1378" w:type="dxa"/>
          </w:tcPr>
          <w:p w14:paraId="58617EF6"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432" w:type="dxa"/>
          </w:tcPr>
          <w:p w14:paraId="58617EF7"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r>
      <w:tr w:rsidR="00A3488F" w14:paraId="58617EFB" w14:textId="77777777">
        <w:trPr>
          <w:trHeight w:val="357"/>
        </w:trPr>
        <w:tc>
          <w:tcPr>
            <w:tcW w:w="1378" w:type="dxa"/>
          </w:tcPr>
          <w:p w14:paraId="58617EF9"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8432" w:type="dxa"/>
          </w:tcPr>
          <w:p w14:paraId="58617EFA" w14:textId="77777777" w:rsidR="00A3488F" w:rsidRDefault="00D4377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gNB ID of the target, IP address, mIAB-MT ID(s)</w:t>
            </w:r>
          </w:p>
        </w:tc>
      </w:tr>
      <w:tr w:rsidR="00A3488F" w14:paraId="58617EFE" w14:textId="77777777">
        <w:trPr>
          <w:trHeight w:val="342"/>
        </w:trPr>
        <w:tc>
          <w:tcPr>
            <w:tcW w:w="1378" w:type="dxa"/>
          </w:tcPr>
          <w:p w14:paraId="58617EFC"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Huawei </w:t>
            </w:r>
          </w:p>
        </w:tc>
        <w:tc>
          <w:tcPr>
            <w:tcW w:w="8432" w:type="dxa"/>
          </w:tcPr>
          <w:p w14:paraId="58617EFD"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Suggest </w:t>
            </w:r>
            <w:proofErr w:type="gramStart"/>
            <w:r>
              <w:rPr>
                <w:rFonts w:ascii="Times New Roman" w:eastAsiaTheme="minorEastAsia" w:hAnsi="Times New Roman" w:cs="Times New Roman"/>
                <w:sz w:val="20"/>
                <w:szCs w:val="20"/>
                <w:lang w:val="en-GB" w:eastAsia="zh-CN"/>
              </w:rPr>
              <w:t>to focus</w:t>
            </w:r>
            <w:proofErr w:type="gramEnd"/>
            <w:r>
              <w:rPr>
                <w:rFonts w:ascii="Times New Roman" w:eastAsiaTheme="minorEastAsia" w:hAnsi="Times New Roman" w:cs="Times New Roman"/>
                <w:sz w:val="20"/>
                <w:szCs w:val="20"/>
                <w:lang w:val="en-GB" w:eastAsia="zh-CN"/>
              </w:rPr>
              <w:t xml:space="preserve"> the previous discussion first. From our view, the identifier of the target donor CU and the identifier of mobile IAB-node are needed, if the potential Proposal 1-3 is agreeable.   </w:t>
            </w:r>
          </w:p>
        </w:tc>
      </w:tr>
      <w:tr w:rsidR="00A3488F" w14:paraId="58617F06" w14:textId="77777777">
        <w:trPr>
          <w:trHeight w:val="325"/>
        </w:trPr>
        <w:tc>
          <w:tcPr>
            <w:tcW w:w="1378" w:type="dxa"/>
          </w:tcPr>
          <w:p w14:paraId="58617EFF"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8432" w:type="dxa"/>
          </w:tcPr>
          <w:p w14:paraId="58617F00"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tend to agree with Huawei: Let’s first get the sequence in place:</w:t>
            </w:r>
          </w:p>
          <w:p w14:paraId="58617F01" w14:textId="77777777" w:rsidR="00A3488F" w:rsidRDefault="00D4377D">
            <w:pPr>
              <w:pStyle w:val="ListParagraph"/>
              <w:numPr>
                <w:ilvl w:val="0"/>
                <w:numId w:val="6"/>
              </w:numPr>
              <w:spacing w:before="120" w:after="0"/>
              <w:rPr>
                <w:rFonts w:ascii="Times New Roman" w:eastAsiaTheme="minorEastAsia" w:hAnsi="Times New Roman" w:cs="Times New Roman"/>
              </w:rPr>
            </w:pPr>
            <w:r>
              <w:rPr>
                <w:rFonts w:ascii="Times New Roman" w:eastAsiaTheme="minorEastAsia" w:hAnsi="Times New Roman" w:cs="Times New Roman"/>
              </w:rPr>
              <w:t>Step 1: The IAB-MT’s CU (</w:t>
            </w:r>
            <w:r>
              <w:rPr>
                <w:rFonts w:ascii="Times New Roman" w:eastAsiaTheme="minorEastAsia" w:hAnsi="Times New Roman" w:cs="Times New Roman"/>
                <w:b/>
                <w:bCs/>
              </w:rPr>
              <w:t>CU2</w:t>
            </w:r>
            <w:r>
              <w:rPr>
                <w:rFonts w:ascii="Times New Roman" w:eastAsiaTheme="minorEastAsia" w:hAnsi="Times New Roman" w:cs="Times New Roman"/>
              </w:rPr>
              <w:t>) triggers IAB-MT handover to a new target CU (</w:t>
            </w:r>
            <w:r>
              <w:rPr>
                <w:rFonts w:ascii="Times New Roman" w:eastAsiaTheme="minorEastAsia" w:hAnsi="Times New Roman" w:cs="Times New Roman"/>
                <w:b/>
                <w:bCs/>
              </w:rPr>
              <w:t>CU3</w:t>
            </w:r>
            <w:r>
              <w:rPr>
                <w:rFonts w:ascii="Times New Roman" w:eastAsiaTheme="minorEastAsia" w:hAnsi="Times New Roman" w:cs="Times New Roman"/>
              </w:rPr>
              <w:t>) and informs the IAB-DU’s CU (</w:t>
            </w:r>
            <w:r>
              <w:rPr>
                <w:rFonts w:ascii="Times New Roman" w:eastAsiaTheme="minorEastAsia" w:hAnsi="Times New Roman" w:cs="Times New Roman"/>
                <w:b/>
                <w:bCs/>
              </w:rPr>
              <w:t>CU1</w:t>
            </w:r>
            <w:r>
              <w:rPr>
                <w:rFonts w:ascii="Times New Roman" w:eastAsiaTheme="minorEastAsia" w:hAnsi="Times New Roman" w:cs="Times New Roman"/>
              </w:rPr>
              <w:t>) about this IAB-MT migration.</w:t>
            </w:r>
          </w:p>
          <w:p w14:paraId="58617F02" w14:textId="77777777" w:rsidR="00A3488F" w:rsidRDefault="00A3488F">
            <w:pPr>
              <w:pStyle w:val="ListParagraph"/>
              <w:spacing w:before="120" w:after="0"/>
              <w:rPr>
                <w:rFonts w:ascii="Times New Roman" w:eastAsiaTheme="minorEastAsia" w:hAnsi="Times New Roman" w:cs="Times New Roman"/>
              </w:rPr>
            </w:pPr>
          </w:p>
          <w:p w14:paraId="58617F03" w14:textId="77777777" w:rsidR="00A3488F" w:rsidRDefault="00D4377D">
            <w:pPr>
              <w:pStyle w:val="ListParagraph"/>
              <w:numPr>
                <w:ilvl w:val="0"/>
                <w:numId w:val="6"/>
              </w:numPr>
              <w:spacing w:before="120" w:after="0"/>
              <w:rPr>
                <w:rFonts w:ascii="Times New Roman" w:eastAsiaTheme="minorEastAsia" w:hAnsi="Times New Roman" w:cs="Times New Roman"/>
              </w:rPr>
            </w:pPr>
            <w:r>
              <w:rPr>
                <w:rFonts w:ascii="Times New Roman" w:eastAsiaTheme="minorEastAsia" w:hAnsi="Times New Roman" w:cs="Times New Roman"/>
              </w:rPr>
              <w:t>Step 2: The IAB-DU’s CU (</w:t>
            </w:r>
            <w:r>
              <w:rPr>
                <w:rFonts w:ascii="Times New Roman" w:eastAsiaTheme="minorEastAsia" w:hAnsi="Times New Roman" w:cs="Times New Roman"/>
                <w:b/>
                <w:bCs/>
              </w:rPr>
              <w:t>CU1</w:t>
            </w:r>
            <w:r>
              <w:rPr>
                <w:rFonts w:ascii="Times New Roman" w:eastAsiaTheme="minorEastAsia" w:hAnsi="Times New Roman" w:cs="Times New Roman"/>
              </w:rPr>
              <w:t>) then migrates F1 traffic to the IAB-MT’s new target CU (</w:t>
            </w:r>
            <w:r>
              <w:rPr>
                <w:rFonts w:ascii="Times New Roman" w:eastAsiaTheme="minorEastAsia" w:hAnsi="Times New Roman" w:cs="Times New Roman"/>
                <w:b/>
                <w:bCs/>
              </w:rPr>
              <w:t>CU3</w:t>
            </w:r>
            <w:r>
              <w:rPr>
                <w:rFonts w:ascii="Times New Roman" w:eastAsiaTheme="minorEastAsia" w:hAnsi="Times New Roman" w:cs="Times New Roman"/>
              </w:rPr>
              <w:t>) so that the traffic path is optimized, i.e., between IAB-DU’s CU (</w:t>
            </w:r>
            <w:r>
              <w:rPr>
                <w:rFonts w:ascii="Times New Roman" w:eastAsiaTheme="minorEastAsia" w:hAnsi="Times New Roman" w:cs="Times New Roman"/>
                <w:b/>
                <w:bCs/>
              </w:rPr>
              <w:t>CU1</w:t>
            </w:r>
            <w:r>
              <w:rPr>
                <w:rFonts w:ascii="Times New Roman" w:eastAsiaTheme="minorEastAsia" w:hAnsi="Times New Roman" w:cs="Times New Roman"/>
              </w:rPr>
              <w:t>) and IAB-MT’s new target CU (</w:t>
            </w:r>
            <w:r>
              <w:rPr>
                <w:rFonts w:ascii="Times New Roman" w:eastAsiaTheme="minorEastAsia" w:hAnsi="Times New Roman" w:cs="Times New Roman"/>
                <w:b/>
                <w:bCs/>
              </w:rPr>
              <w:t>CU3</w:t>
            </w:r>
            <w:r>
              <w:rPr>
                <w:rFonts w:ascii="Times New Roman" w:eastAsiaTheme="minorEastAsia" w:hAnsi="Times New Roman" w:cs="Times New Roman"/>
              </w:rPr>
              <w:t xml:space="preserve">). </w:t>
            </w:r>
          </w:p>
          <w:p w14:paraId="58617F04"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 any case, the IAB-MT’s source CU (</w:t>
            </w:r>
            <w:r>
              <w:rPr>
                <w:rFonts w:ascii="Times New Roman" w:eastAsiaTheme="minorEastAsia" w:hAnsi="Times New Roman" w:cs="Times New Roman"/>
                <w:b/>
                <w:bCs/>
                <w:sz w:val="20"/>
                <w:szCs w:val="20"/>
                <w:lang w:val="en-GB" w:eastAsia="zh-CN"/>
              </w:rPr>
              <w:t>CU2</w:t>
            </w:r>
            <w:r>
              <w:rPr>
                <w:rFonts w:ascii="Times New Roman" w:eastAsiaTheme="minorEastAsia" w:hAnsi="Times New Roman" w:cs="Times New Roman"/>
                <w:sz w:val="20"/>
                <w:szCs w:val="20"/>
                <w:lang w:val="en-GB" w:eastAsia="zh-CN"/>
              </w:rPr>
              <w:t>) should only provide the IAB-MT’s target CU (</w:t>
            </w:r>
            <w:r>
              <w:rPr>
                <w:rFonts w:ascii="Times New Roman" w:eastAsiaTheme="minorEastAsia" w:hAnsi="Times New Roman" w:cs="Times New Roman"/>
                <w:b/>
                <w:bCs/>
                <w:sz w:val="20"/>
                <w:szCs w:val="20"/>
                <w:lang w:val="en-GB" w:eastAsia="zh-CN"/>
              </w:rPr>
              <w:t>CU3</w:t>
            </w:r>
            <w:r>
              <w:rPr>
                <w:rFonts w:ascii="Times New Roman" w:eastAsiaTheme="minorEastAsia" w:hAnsi="Times New Roman" w:cs="Times New Roman"/>
                <w:sz w:val="20"/>
                <w:szCs w:val="20"/>
                <w:lang w:val="en-GB" w:eastAsia="zh-CN"/>
              </w:rPr>
              <w:t>) ID and the IAB-MT’s ID to the IAB-DU’s CU (</w:t>
            </w:r>
            <w:r>
              <w:rPr>
                <w:rFonts w:ascii="Times New Roman" w:eastAsiaTheme="minorEastAsia" w:hAnsi="Times New Roman" w:cs="Times New Roman"/>
                <w:b/>
                <w:bCs/>
                <w:sz w:val="20"/>
                <w:szCs w:val="20"/>
                <w:lang w:val="en-GB" w:eastAsia="zh-CN"/>
              </w:rPr>
              <w:t>CU1</w:t>
            </w:r>
            <w:r>
              <w:rPr>
                <w:rFonts w:ascii="Times New Roman" w:eastAsiaTheme="minorEastAsia" w:hAnsi="Times New Roman" w:cs="Times New Roman"/>
                <w:sz w:val="20"/>
                <w:szCs w:val="20"/>
                <w:lang w:val="en-GB" w:eastAsia="zh-CN"/>
              </w:rPr>
              <w:t>). It is not involved in traffic transfer. The IAB-DU’s CU can then use the IAB traffic migration management procedure with IAB-MT’s new target CU (</w:t>
            </w:r>
            <w:r>
              <w:rPr>
                <w:rFonts w:ascii="Times New Roman" w:eastAsiaTheme="minorEastAsia" w:hAnsi="Times New Roman" w:cs="Times New Roman"/>
                <w:b/>
                <w:bCs/>
                <w:sz w:val="20"/>
                <w:szCs w:val="20"/>
                <w:lang w:val="en-GB" w:eastAsia="zh-CN"/>
              </w:rPr>
              <w:t>CU3</w:t>
            </w:r>
            <w:r>
              <w:rPr>
                <w:rFonts w:ascii="Times New Roman" w:eastAsiaTheme="minorEastAsia" w:hAnsi="Times New Roman" w:cs="Times New Roman"/>
                <w:sz w:val="20"/>
                <w:szCs w:val="20"/>
                <w:lang w:val="en-GB" w:eastAsia="zh-CN"/>
              </w:rPr>
              <w:t>) as defined in Rel-17.</w:t>
            </w:r>
          </w:p>
          <w:p w14:paraId="58617F05"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7F09" w14:textId="77777777">
        <w:trPr>
          <w:trHeight w:val="342"/>
        </w:trPr>
        <w:tc>
          <w:tcPr>
            <w:tcW w:w="1378" w:type="dxa"/>
          </w:tcPr>
          <w:p w14:paraId="58617F07"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8432" w:type="dxa"/>
          </w:tcPr>
          <w:p w14:paraId="58617F08"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gNB ID (or cell id) of the target, TNL address, mIAB-MT ID (if previous proposal is agreed).</w:t>
            </w:r>
          </w:p>
        </w:tc>
      </w:tr>
      <w:tr w:rsidR="00A3488F" w14:paraId="58617F0C" w14:textId="77777777">
        <w:trPr>
          <w:trHeight w:val="325"/>
        </w:trPr>
        <w:tc>
          <w:tcPr>
            <w:tcW w:w="1378" w:type="dxa"/>
          </w:tcPr>
          <w:p w14:paraId="58617F0A" w14:textId="77777777" w:rsidR="00A3488F" w:rsidRDefault="00D4377D">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8432" w:type="dxa"/>
          </w:tcPr>
          <w:p w14:paraId="58617F0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rPr>
              <w:t xml:space="preserve">gNB ID of the target, IP address, Source NG-RAN node UE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ID reference, Target NG-RAN node UE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ID reference (exchanged during mIAB-MT Handover preparation)</w:t>
            </w:r>
          </w:p>
        </w:tc>
      </w:tr>
      <w:tr w:rsidR="00A3488F" w14:paraId="58617F0F" w14:textId="77777777">
        <w:trPr>
          <w:trHeight w:val="342"/>
        </w:trPr>
        <w:tc>
          <w:tcPr>
            <w:tcW w:w="1378" w:type="dxa"/>
          </w:tcPr>
          <w:p w14:paraId="58617F0D"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8432" w:type="dxa"/>
          </w:tcPr>
          <w:p w14:paraId="58617F0E"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with HW/QC. The contact detail can be gNB ID of target donor (CU3), or cell ID of target donor’s cell. The NG-RAN UE </w:t>
            </w:r>
            <w:proofErr w:type="spellStart"/>
            <w:r>
              <w:rPr>
                <w:rFonts w:ascii="Times New Roman" w:eastAsiaTheme="minorEastAsia" w:hAnsi="Times New Roman" w:cs="Times New Roman"/>
                <w:sz w:val="20"/>
                <w:szCs w:val="20"/>
                <w:lang w:val="en-GB" w:eastAsia="zh-CN"/>
              </w:rPr>
              <w:t>XnAP</w:t>
            </w:r>
            <w:proofErr w:type="spellEnd"/>
            <w:r>
              <w:rPr>
                <w:rFonts w:ascii="Times New Roman" w:eastAsiaTheme="minorEastAsia" w:hAnsi="Times New Roman" w:cs="Times New Roman"/>
                <w:sz w:val="20"/>
                <w:szCs w:val="20"/>
                <w:lang w:val="en-GB" w:eastAsia="zh-CN"/>
              </w:rPr>
              <w:t xml:space="preserve"> ID for IAB-MT is unique in CU1, so it can continue to be used for CU1-CU3 Xn.</w:t>
            </w:r>
          </w:p>
        </w:tc>
      </w:tr>
      <w:tr w:rsidR="00A3488F" w14:paraId="58617F12" w14:textId="77777777">
        <w:trPr>
          <w:trHeight w:val="342"/>
        </w:trPr>
        <w:tc>
          <w:tcPr>
            <w:tcW w:w="1378" w:type="dxa"/>
          </w:tcPr>
          <w:p w14:paraId="58617F10"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8432" w:type="dxa"/>
          </w:tcPr>
          <w:p w14:paraId="58617F11"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At least the gNB ID (or cell id) of the target and </w:t>
            </w:r>
            <w:r>
              <w:rPr>
                <w:rFonts w:ascii="Times New Roman" w:hAnsi="Times New Roman" w:cs="Times New Roman"/>
                <w:sz w:val="20"/>
                <w:szCs w:val="20"/>
                <w:lang w:val="en-GB"/>
              </w:rPr>
              <w:t>mIAB-MT ID.</w:t>
            </w:r>
          </w:p>
        </w:tc>
      </w:tr>
      <w:tr w:rsidR="00A3488F" w14:paraId="58617F15" w14:textId="77777777">
        <w:trPr>
          <w:trHeight w:val="342"/>
        </w:trPr>
        <w:tc>
          <w:tcPr>
            <w:tcW w:w="1378" w:type="dxa"/>
          </w:tcPr>
          <w:p w14:paraId="58617F13"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w:t>
            </w:r>
          </w:p>
        </w:tc>
        <w:tc>
          <w:tcPr>
            <w:tcW w:w="8432" w:type="dxa"/>
          </w:tcPr>
          <w:p w14:paraId="58617F14"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gNB ID (or cell id) of the target, TNL address, mIAB-MT ID (can be </w:t>
            </w:r>
            <w:r>
              <w:rPr>
                <w:rFonts w:ascii="Times New Roman" w:hAnsi="Times New Roman" w:cs="Times New Roman"/>
                <w:sz w:val="20"/>
                <w:szCs w:val="20"/>
                <w:lang w:val="en-GB"/>
              </w:rPr>
              <w:t xml:space="preserve">UE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ID</w:t>
            </w:r>
            <w:r>
              <w:rPr>
                <w:rFonts w:ascii="Times New Roman" w:eastAsiaTheme="minorEastAsia" w:hAnsi="Times New Roman" w:cs="Times New Roman"/>
                <w:sz w:val="20"/>
                <w:szCs w:val="20"/>
                <w:lang w:val="en-GB" w:eastAsia="zh-CN"/>
              </w:rPr>
              <w:t>)</w:t>
            </w:r>
          </w:p>
        </w:tc>
      </w:tr>
      <w:tr w:rsidR="00A3488F" w14:paraId="58617F18" w14:textId="77777777">
        <w:trPr>
          <w:trHeight w:val="342"/>
        </w:trPr>
        <w:tc>
          <w:tcPr>
            <w:tcW w:w="1378" w:type="dxa"/>
          </w:tcPr>
          <w:p w14:paraId="58617F16"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432" w:type="dxa"/>
          </w:tcPr>
          <w:p w14:paraId="58617F17"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The identity of target donor and identity of mobile IAB-MT allocated by the target donor need to be provided to the F1-terminating donor. </w:t>
            </w:r>
          </w:p>
        </w:tc>
      </w:tr>
      <w:tr w:rsidR="00665DD5" w14:paraId="58617F1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617F19"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Samsung</w:t>
            </w:r>
          </w:p>
        </w:tc>
        <w:tc>
          <w:tcPr>
            <w:tcW w:w="8432" w:type="dxa"/>
            <w:tcBorders>
              <w:top w:val="single" w:sz="4" w:space="0" w:color="auto"/>
              <w:left w:val="single" w:sz="4" w:space="0" w:color="auto"/>
              <w:bottom w:val="single" w:sz="4" w:space="0" w:color="auto"/>
              <w:right w:val="single" w:sz="4" w:space="0" w:color="auto"/>
            </w:tcBorders>
          </w:tcPr>
          <w:p w14:paraId="58617F1A"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hAnsi="Times New Roman" w:cs="Times New Roman"/>
                <w:sz w:val="20"/>
                <w:szCs w:val="20"/>
                <w:lang w:val="en-GB"/>
              </w:rPr>
              <w:t xml:space="preserve">gNB ID of the target, </w:t>
            </w:r>
            <w:r w:rsidRPr="005B1376">
              <w:rPr>
                <w:rFonts w:ascii="Times New Roman" w:hAnsi="Times New Roman" w:cs="Times New Roman" w:hint="eastAsia"/>
                <w:sz w:val="20"/>
                <w:szCs w:val="20"/>
                <w:lang w:val="en-GB"/>
              </w:rPr>
              <w:t>cell</w:t>
            </w:r>
            <w:r>
              <w:rPr>
                <w:rFonts w:ascii="Times New Roman" w:hAnsi="Times New Roman" w:cs="Times New Roman"/>
                <w:sz w:val="20"/>
                <w:szCs w:val="20"/>
                <w:lang w:val="en-GB"/>
              </w:rPr>
              <w:t xml:space="preserve"> </w:t>
            </w:r>
            <w:r w:rsidRPr="005B1376">
              <w:rPr>
                <w:rFonts w:ascii="Times New Roman" w:hAnsi="Times New Roman" w:cs="Times New Roman" w:hint="eastAsia"/>
                <w:sz w:val="20"/>
                <w:szCs w:val="20"/>
                <w:lang w:val="en-GB"/>
              </w:rPr>
              <w:t>ID</w:t>
            </w:r>
            <w:r>
              <w:rPr>
                <w:rFonts w:ascii="Times New Roman" w:hAnsi="Times New Roman" w:cs="Times New Roman"/>
                <w:sz w:val="20"/>
                <w:szCs w:val="20"/>
                <w:lang w:val="en-GB"/>
              </w:rPr>
              <w:t xml:space="preserve">, mIAB-MT ID(s) for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between </w:t>
            </w:r>
            <w:r w:rsidRPr="005B1376">
              <w:rPr>
                <w:rFonts w:ascii="Times New Roman" w:hAnsi="Times New Roman" w:cs="Times New Roman"/>
                <w:sz w:val="20"/>
                <w:szCs w:val="20"/>
                <w:lang w:val="en-GB"/>
              </w:rPr>
              <w:t>source donor CU for the mIAB-MT HO</w:t>
            </w:r>
            <w:r>
              <w:rPr>
                <w:rFonts w:ascii="Times New Roman" w:hAnsi="Times New Roman" w:cs="Times New Roman"/>
                <w:sz w:val="20"/>
                <w:szCs w:val="20"/>
                <w:lang w:val="en-GB"/>
              </w:rPr>
              <w:t xml:space="preserve"> and </w:t>
            </w:r>
            <w:r w:rsidRPr="00EA4CA4">
              <w:rPr>
                <w:rFonts w:ascii="Times New Roman" w:hAnsi="Times New Roman" w:cs="Times New Roman"/>
                <w:color w:val="000000"/>
                <w:sz w:val="20"/>
                <w:szCs w:val="20"/>
                <w:lang w:val="en-GB"/>
              </w:rPr>
              <w:t xml:space="preserve">target donor CU for the mIAB-MT </w:t>
            </w:r>
            <w:r>
              <w:rPr>
                <w:rFonts w:ascii="Times New Roman" w:hAnsi="Times New Roman" w:cs="Times New Roman"/>
                <w:color w:val="000000"/>
                <w:sz w:val="20"/>
                <w:szCs w:val="20"/>
                <w:lang w:val="en-GB"/>
              </w:rPr>
              <w:t>HO.</w:t>
            </w:r>
          </w:p>
        </w:tc>
      </w:tr>
    </w:tbl>
    <w:p w14:paraId="0AE50DBA" w14:textId="77777777" w:rsidR="009435BF" w:rsidRPr="00FD58F2" w:rsidRDefault="009435BF" w:rsidP="009435BF">
      <w:pPr>
        <w:spacing w:before="120" w:after="0"/>
        <w:rPr>
          <w:rFonts w:ascii="Times New Roman" w:hAnsi="Times New Roman" w:cs="Times New Roman"/>
          <w:b/>
          <w:bCs/>
          <w:color w:val="4472C4" w:themeColor="accent1"/>
          <w:sz w:val="20"/>
          <w:szCs w:val="20"/>
          <w:u w:val="single"/>
          <w:lang w:val="en-GB"/>
        </w:rPr>
      </w:pPr>
      <w:r w:rsidRPr="00FD58F2">
        <w:rPr>
          <w:rFonts w:ascii="Times New Roman" w:hAnsi="Times New Roman" w:cs="Times New Roman"/>
          <w:b/>
          <w:bCs/>
          <w:color w:val="4472C4" w:themeColor="accent1"/>
          <w:sz w:val="20"/>
          <w:szCs w:val="20"/>
          <w:u w:val="single"/>
          <w:lang w:val="en-GB"/>
        </w:rPr>
        <w:t>Summary:</w:t>
      </w:r>
    </w:p>
    <w:p w14:paraId="104C43E2" w14:textId="07A923D7" w:rsidR="009435BF" w:rsidRPr="00143C38" w:rsidRDefault="009435BF" w:rsidP="009435BF">
      <w:pPr>
        <w:spacing w:before="120" w:after="0"/>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There</w:t>
      </w:r>
      <w:r w:rsidR="00733EA0">
        <w:rPr>
          <w:rFonts w:ascii="Times New Roman" w:hAnsi="Times New Roman" w:cs="Times New Roman"/>
          <w:color w:val="0070C0"/>
          <w:sz w:val="20"/>
          <w:szCs w:val="20"/>
          <w:lang w:val="en-GB"/>
        </w:rPr>
        <w:t xml:space="preserve"> seems to be a consensus </w:t>
      </w:r>
      <w:r w:rsidR="006E79C6">
        <w:rPr>
          <w:rFonts w:ascii="Times New Roman" w:hAnsi="Times New Roman" w:cs="Times New Roman"/>
          <w:color w:val="0070C0"/>
          <w:sz w:val="20"/>
          <w:szCs w:val="20"/>
          <w:lang w:val="en-GB"/>
        </w:rPr>
        <w:t>about at least the target gNB ID and the ID of the MT.</w:t>
      </w:r>
      <w:r w:rsidR="008C1972">
        <w:rPr>
          <w:rFonts w:ascii="Times New Roman" w:hAnsi="Times New Roman" w:cs="Times New Roman"/>
          <w:color w:val="0070C0"/>
          <w:sz w:val="20"/>
          <w:szCs w:val="20"/>
          <w:lang w:val="en-GB"/>
        </w:rPr>
        <w:t xml:space="preserve"> No one seems to dispute the TNL address.</w:t>
      </w:r>
    </w:p>
    <w:p w14:paraId="08BCA016" w14:textId="77777777" w:rsidR="00E2566A" w:rsidRDefault="009435BF" w:rsidP="009435BF">
      <w:pPr>
        <w:spacing w:before="120" w:after="0"/>
        <w:rPr>
          <w:rFonts w:ascii="Times New Roman" w:hAnsi="Times New Roman" w:cs="Times New Roman"/>
          <w:b/>
          <w:bCs/>
          <w:color w:val="00B050"/>
          <w:sz w:val="20"/>
          <w:szCs w:val="20"/>
          <w:lang w:val="en-GB"/>
        </w:rPr>
      </w:pPr>
      <w:r w:rsidRPr="009435BF">
        <w:rPr>
          <w:rFonts w:ascii="Times New Roman" w:hAnsi="Times New Roman" w:cs="Times New Roman"/>
          <w:b/>
          <w:bCs/>
          <w:color w:val="00B050"/>
          <w:sz w:val="20"/>
          <w:szCs w:val="20"/>
          <w:lang w:val="en-GB"/>
        </w:rPr>
        <w:t>Proposal</w:t>
      </w:r>
      <w:r w:rsidR="00810AC4">
        <w:rPr>
          <w:rFonts w:ascii="Times New Roman" w:hAnsi="Times New Roman" w:cs="Times New Roman"/>
          <w:b/>
          <w:bCs/>
          <w:color w:val="00B050"/>
          <w:sz w:val="20"/>
          <w:szCs w:val="20"/>
          <w:lang w:val="en-GB"/>
        </w:rPr>
        <w:t xml:space="preserve"> 1-4: </w:t>
      </w:r>
      <w:r w:rsidR="00F40C75">
        <w:rPr>
          <w:rFonts w:ascii="Times New Roman" w:hAnsi="Times New Roman" w:cs="Times New Roman"/>
          <w:b/>
          <w:bCs/>
          <w:color w:val="00B050"/>
          <w:sz w:val="20"/>
          <w:szCs w:val="20"/>
          <w:lang w:val="en-GB"/>
        </w:rPr>
        <w:t>T</w:t>
      </w:r>
      <w:r w:rsidR="00F40C75" w:rsidRPr="00F40C75">
        <w:rPr>
          <w:rFonts w:ascii="Times New Roman" w:hAnsi="Times New Roman" w:cs="Times New Roman"/>
          <w:b/>
          <w:bCs/>
          <w:color w:val="00B050"/>
          <w:sz w:val="20"/>
          <w:szCs w:val="20"/>
          <w:lang w:val="en-GB"/>
        </w:rPr>
        <w:t xml:space="preserve">he </w:t>
      </w:r>
      <w:r w:rsidR="00F40C75">
        <w:rPr>
          <w:rFonts w:ascii="Times New Roman" w:hAnsi="Times New Roman" w:cs="Times New Roman"/>
          <w:b/>
          <w:bCs/>
          <w:color w:val="00B050"/>
          <w:sz w:val="20"/>
          <w:szCs w:val="20"/>
          <w:lang w:val="en-GB"/>
        </w:rPr>
        <w:t>source</w:t>
      </w:r>
      <w:r w:rsidR="00F40C75" w:rsidRPr="00F40C75">
        <w:rPr>
          <w:rFonts w:ascii="Times New Roman" w:hAnsi="Times New Roman" w:cs="Times New Roman"/>
          <w:b/>
          <w:bCs/>
          <w:color w:val="00B050"/>
          <w:sz w:val="20"/>
          <w:szCs w:val="20"/>
          <w:lang w:val="en-GB"/>
        </w:rPr>
        <w:t xml:space="preserve"> donor CU for the mIAB-MT HO provide</w:t>
      </w:r>
      <w:r w:rsidR="00F40C75">
        <w:rPr>
          <w:rFonts w:ascii="Times New Roman" w:hAnsi="Times New Roman" w:cs="Times New Roman"/>
          <w:b/>
          <w:bCs/>
          <w:color w:val="00B050"/>
          <w:sz w:val="20"/>
          <w:szCs w:val="20"/>
          <w:lang w:val="en-GB"/>
        </w:rPr>
        <w:t>s</w:t>
      </w:r>
      <w:r w:rsidR="00F40C75" w:rsidRPr="00F40C75">
        <w:rPr>
          <w:rFonts w:ascii="Times New Roman" w:hAnsi="Times New Roman" w:cs="Times New Roman"/>
          <w:b/>
          <w:bCs/>
          <w:color w:val="00B050"/>
          <w:sz w:val="20"/>
          <w:szCs w:val="20"/>
          <w:lang w:val="en-GB"/>
        </w:rPr>
        <w:t xml:space="preserve"> to the donor CU serving the mIAB-DU </w:t>
      </w:r>
      <w:r w:rsidR="00C537BD">
        <w:rPr>
          <w:rFonts w:ascii="Times New Roman" w:hAnsi="Times New Roman" w:cs="Times New Roman"/>
          <w:b/>
          <w:bCs/>
          <w:color w:val="00B050"/>
          <w:sz w:val="20"/>
          <w:szCs w:val="20"/>
          <w:lang w:val="en-GB"/>
        </w:rPr>
        <w:t>at least the</w:t>
      </w:r>
      <w:r w:rsidR="00E2566A">
        <w:rPr>
          <w:rFonts w:ascii="Times New Roman" w:hAnsi="Times New Roman" w:cs="Times New Roman"/>
          <w:b/>
          <w:bCs/>
          <w:color w:val="00B050"/>
          <w:sz w:val="20"/>
          <w:szCs w:val="20"/>
          <w:lang w:val="en-GB"/>
        </w:rPr>
        <w:t>:</w:t>
      </w:r>
    </w:p>
    <w:p w14:paraId="0EBF981E" w14:textId="1AB0341C" w:rsidR="00E2566A" w:rsidRPr="00E2566A" w:rsidRDefault="00C537BD" w:rsidP="00E2566A">
      <w:pPr>
        <w:pStyle w:val="ListParagraph"/>
        <w:numPr>
          <w:ilvl w:val="0"/>
          <w:numId w:val="12"/>
        </w:numPr>
        <w:spacing w:before="120" w:after="0"/>
        <w:rPr>
          <w:rFonts w:ascii="Times New Roman" w:hAnsi="Times New Roman" w:cs="Times New Roman"/>
        </w:rPr>
      </w:pPr>
      <w:r w:rsidRPr="00E2566A">
        <w:rPr>
          <w:rFonts w:ascii="Times New Roman" w:hAnsi="Times New Roman" w:cs="Times New Roman"/>
          <w:b/>
          <w:bCs/>
          <w:color w:val="00B050"/>
        </w:rPr>
        <w:t xml:space="preserve">gNB ID of the </w:t>
      </w:r>
      <w:r w:rsidR="00767F12" w:rsidRPr="00E2566A">
        <w:rPr>
          <w:rFonts w:ascii="Times New Roman" w:hAnsi="Times New Roman" w:cs="Times New Roman"/>
          <w:b/>
          <w:bCs/>
          <w:color w:val="00B050"/>
        </w:rPr>
        <w:t>target donor CU for the mIAB-MT HO</w:t>
      </w:r>
      <w:r w:rsidR="00E2566A">
        <w:rPr>
          <w:rFonts w:ascii="Times New Roman" w:hAnsi="Times New Roman" w:cs="Times New Roman"/>
          <w:b/>
          <w:bCs/>
          <w:color w:val="00B050"/>
        </w:rPr>
        <w:t>.</w:t>
      </w:r>
    </w:p>
    <w:p w14:paraId="74B189DC" w14:textId="5F061FAC" w:rsidR="00E2566A" w:rsidRPr="00E2566A" w:rsidRDefault="00767F12" w:rsidP="00E2566A">
      <w:pPr>
        <w:pStyle w:val="ListParagraph"/>
        <w:numPr>
          <w:ilvl w:val="0"/>
          <w:numId w:val="12"/>
        </w:numPr>
        <w:spacing w:before="120" w:after="0"/>
        <w:rPr>
          <w:rFonts w:ascii="Times New Roman" w:hAnsi="Times New Roman" w:cs="Times New Roman"/>
        </w:rPr>
      </w:pPr>
      <w:r w:rsidRPr="00E2566A">
        <w:rPr>
          <w:rFonts w:ascii="Times New Roman" w:hAnsi="Times New Roman" w:cs="Times New Roman"/>
          <w:b/>
          <w:bCs/>
          <w:color w:val="00B050"/>
        </w:rPr>
        <w:t>ID(s) of the mIAB-MT</w:t>
      </w:r>
      <w:r w:rsidR="00E2566A">
        <w:rPr>
          <w:rFonts w:ascii="Times New Roman" w:hAnsi="Times New Roman" w:cs="Times New Roman"/>
          <w:b/>
          <w:bCs/>
          <w:color w:val="00B050"/>
        </w:rPr>
        <w:t>.</w:t>
      </w:r>
    </w:p>
    <w:p w14:paraId="4E6E24B0" w14:textId="74CBCB98" w:rsidR="009435BF" w:rsidRPr="00E2566A" w:rsidRDefault="00767F12" w:rsidP="00E2566A">
      <w:pPr>
        <w:pStyle w:val="ListParagraph"/>
        <w:numPr>
          <w:ilvl w:val="0"/>
          <w:numId w:val="12"/>
        </w:numPr>
        <w:spacing w:before="120" w:after="0"/>
        <w:rPr>
          <w:rFonts w:ascii="Times New Roman" w:hAnsi="Times New Roman" w:cs="Times New Roman"/>
        </w:rPr>
      </w:pPr>
      <w:r w:rsidRPr="00E2566A">
        <w:rPr>
          <w:rFonts w:ascii="Times New Roman" w:hAnsi="Times New Roman" w:cs="Times New Roman"/>
          <w:b/>
          <w:bCs/>
          <w:color w:val="00B050"/>
        </w:rPr>
        <w:t xml:space="preserve">(WA) the TNL address of the </w:t>
      </w:r>
      <w:r w:rsidRPr="00E2566A">
        <w:rPr>
          <w:rFonts w:ascii="Times New Roman" w:hAnsi="Times New Roman" w:cs="Times New Roman"/>
          <w:b/>
          <w:bCs/>
          <w:color w:val="00B050"/>
        </w:rPr>
        <w:t xml:space="preserve">target donor CU for the mIAB-MT </w:t>
      </w:r>
      <w:r w:rsidRPr="00E2566A">
        <w:rPr>
          <w:rFonts w:ascii="Times New Roman" w:hAnsi="Times New Roman" w:cs="Times New Roman"/>
          <w:b/>
          <w:bCs/>
          <w:color w:val="00B050"/>
        </w:rPr>
        <w:t>HO.</w:t>
      </w:r>
    </w:p>
    <w:p w14:paraId="0E55C14B" w14:textId="77777777" w:rsidR="009435BF" w:rsidRDefault="009435BF">
      <w:pPr>
        <w:spacing w:before="120" w:after="0"/>
        <w:rPr>
          <w:rFonts w:ascii="Times New Roman" w:hAnsi="Times New Roman" w:cs="Times New Roman"/>
          <w:sz w:val="20"/>
          <w:szCs w:val="20"/>
        </w:rPr>
      </w:pPr>
    </w:p>
    <w:p w14:paraId="58617F2B" w14:textId="72825DCF" w:rsidR="00A3488F" w:rsidRDefault="00D4377D">
      <w:pPr>
        <w:spacing w:before="120" w:after="0"/>
        <w:rPr>
          <w:rFonts w:ascii="Times New Roman" w:hAnsi="Times New Roman" w:cs="Times New Roman"/>
          <w:sz w:val="20"/>
          <w:szCs w:val="20"/>
        </w:rPr>
      </w:pPr>
      <w:r>
        <w:rPr>
          <w:rFonts w:ascii="Times New Roman" w:hAnsi="Times New Roman" w:cs="Times New Roman"/>
          <w:sz w:val="20"/>
          <w:szCs w:val="20"/>
        </w:rPr>
        <w:lastRenderedPageBreak/>
        <w:t xml:space="preserve">Papers [QC5359] and [Fuj5434] discuss the use of Rel-17 F1 Transport Migration procedure to multiple subsequent partial migrations of mIAB-node. With respect to the previous question, there may exist Xn connectivity between the </w:t>
      </w:r>
      <w:r>
        <w:rPr>
          <w:rFonts w:ascii="Times New Roman" w:hAnsi="Times New Roman" w:cs="Times New Roman"/>
          <w:color w:val="000000"/>
          <w:sz w:val="20"/>
          <w:szCs w:val="20"/>
          <w:lang w:val="en-GB"/>
        </w:rPr>
        <w:t xml:space="preserve">donor CU serving the mIAB-DU and the target donor CU for the mIAB-MT. </w:t>
      </w:r>
      <w:r>
        <w:rPr>
          <w:rFonts w:ascii="Times New Roman" w:hAnsi="Times New Roman" w:cs="Times New Roman"/>
          <w:sz w:val="20"/>
          <w:szCs w:val="20"/>
        </w:rPr>
        <w:t xml:space="preserve">[QC5359] proposes that, the </w:t>
      </w:r>
      <w:r>
        <w:rPr>
          <w:rFonts w:ascii="Times New Roman" w:hAnsi="Times New Roman" w:cs="Times New Roman"/>
          <w:color w:val="000000"/>
          <w:sz w:val="20"/>
          <w:szCs w:val="20"/>
          <w:lang w:val="en-GB"/>
        </w:rPr>
        <w:t xml:space="preserve">donor CU serving the mIAB-DU and the target donor CU for the mIAB-MT HO </w:t>
      </w:r>
      <w:r>
        <w:rPr>
          <w:rFonts w:ascii="Times New Roman" w:hAnsi="Times New Roman" w:cs="Times New Roman"/>
          <w:sz w:val="20"/>
          <w:szCs w:val="20"/>
        </w:rPr>
        <w:t xml:space="preserve">can coordinate by directly exchanging Xn IAB Transport Migration messages. </w:t>
      </w:r>
    </w:p>
    <w:p w14:paraId="58617F2C" w14:textId="77777777" w:rsidR="00A3488F" w:rsidRDefault="00D4377D">
      <w:pPr>
        <w:spacing w:before="120" w:after="0"/>
        <w:rPr>
          <w:rFonts w:ascii="Times New Roman" w:hAnsi="Times New Roman" w:cs="Times New Roman"/>
          <w:b/>
          <w:bCs/>
          <w:sz w:val="20"/>
          <w:szCs w:val="20"/>
        </w:rPr>
      </w:pPr>
      <w:r>
        <w:rPr>
          <w:rFonts w:ascii="Times New Roman" w:hAnsi="Times New Roman" w:cs="Times New Roman"/>
          <w:b/>
          <w:bCs/>
          <w:sz w:val="20"/>
          <w:szCs w:val="20"/>
        </w:rPr>
        <w:t xml:space="preserve">Q1-5: Do you agree that, for partial migration of mIAB-node, the </w:t>
      </w:r>
      <w:r>
        <w:rPr>
          <w:rFonts w:ascii="Times New Roman" w:hAnsi="Times New Roman" w:cs="Times New Roman"/>
          <w:b/>
          <w:bCs/>
          <w:color w:val="000000"/>
          <w:sz w:val="20"/>
          <w:szCs w:val="20"/>
          <w:lang w:val="en-GB"/>
        </w:rPr>
        <w:t xml:space="preserve">donor CU serving the mIAB-DU and the target donor CU for the mIAB-MT HO </w:t>
      </w:r>
      <w:r>
        <w:rPr>
          <w:rFonts w:ascii="Times New Roman" w:hAnsi="Times New Roman" w:cs="Times New Roman"/>
          <w:b/>
          <w:bCs/>
          <w:sz w:val="20"/>
          <w:szCs w:val="20"/>
        </w:rPr>
        <w:t>can directly exchange Xn IAB Transport Migration messages, in case direct Xn connectivity exists (or is established) between the two donor CUs?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3"/>
        <w:gridCol w:w="7229"/>
      </w:tblGrid>
      <w:tr w:rsidR="00A3488F" w14:paraId="58617F30" w14:textId="77777777">
        <w:trPr>
          <w:trHeight w:val="325"/>
        </w:trPr>
        <w:tc>
          <w:tcPr>
            <w:tcW w:w="1378" w:type="dxa"/>
          </w:tcPr>
          <w:p w14:paraId="58617F2D"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3" w:type="dxa"/>
          </w:tcPr>
          <w:p w14:paraId="58617F2E"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29" w:type="dxa"/>
          </w:tcPr>
          <w:p w14:paraId="58617F2F"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3488F" w14:paraId="58617F35" w14:textId="77777777">
        <w:trPr>
          <w:trHeight w:val="357"/>
        </w:trPr>
        <w:tc>
          <w:tcPr>
            <w:tcW w:w="1378" w:type="dxa"/>
          </w:tcPr>
          <w:p w14:paraId="58617F31"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3" w:type="dxa"/>
          </w:tcPr>
          <w:p w14:paraId="58617F32"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29" w:type="dxa"/>
          </w:tcPr>
          <w:p w14:paraId="58617F33" w14:textId="77777777" w:rsidR="00A3488F" w:rsidRDefault="00D4377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(If our understanding is right, the issue at hand is: which node should negotiate with the target for mIAB-MT HO the F1 transport migration for mIAB-DU traffic: the F1-terminating node or the source for the mIAB-MT HO? Our answer is based on that understanding.)</w:t>
            </w:r>
          </w:p>
          <w:p w14:paraId="58617F34" w14:textId="77777777" w:rsidR="00A3488F" w:rsidRDefault="00D4377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The F1-terminating donor </w:t>
            </w:r>
            <w:r>
              <w:rPr>
                <w:rFonts w:ascii="Times New Roman" w:hAnsi="Times New Roman" w:cs="Times New Roman"/>
                <w:color w:val="000000"/>
                <w:sz w:val="20"/>
                <w:szCs w:val="20"/>
                <w:lang w:val="en-GB"/>
              </w:rPr>
              <w:t>should negotiate F1 transport migration with the target donor CU for the mIAB-MT HO.</w:t>
            </w:r>
          </w:p>
        </w:tc>
      </w:tr>
      <w:tr w:rsidR="00A3488F" w14:paraId="58617F39" w14:textId="77777777">
        <w:trPr>
          <w:trHeight w:val="342"/>
        </w:trPr>
        <w:tc>
          <w:tcPr>
            <w:tcW w:w="1378" w:type="dxa"/>
          </w:tcPr>
          <w:p w14:paraId="58617F36"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3" w:type="dxa"/>
          </w:tcPr>
          <w:p w14:paraId="58617F37"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29" w:type="dxa"/>
          </w:tcPr>
          <w:p w14:paraId="58617F38"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7F3D" w14:textId="77777777">
        <w:trPr>
          <w:trHeight w:val="325"/>
        </w:trPr>
        <w:tc>
          <w:tcPr>
            <w:tcW w:w="1378" w:type="dxa"/>
          </w:tcPr>
          <w:p w14:paraId="58617F3A"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3" w:type="dxa"/>
          </w:tcPr>
          <w:p w14:paraId="58617F3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29" w:type="dxa"/>
          </w:tcPr>
          <w:p w14:paraId="58617F3C"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This question is the pre-requisite for all questions Q1-1 to Q1-4 above. </w:t>
            </w:r>
          </w:p>
        </w:tc>
      </w:tr>
      <w:tr w:rsidR="00A3488F" w14:paraId="58617F41" w14:textId="77777777">
        <w:trPr>
          <w:trHeight w:val="342"/>
        </w:trPr>
        <w:tc>
          <w:tcPr>
            <w:tcW w:w="1378" w:type="dxa"/>
          </w:tcPr>
          <w:p w14:paraId="58617F3E"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3" w:type="dxa"/>
          </w:tcPr>
          <w:p w14:paraId="58617F3F"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29" w:type="dxa"/>
          </w:tcPr>
          <w:p w14:paraId="58617F40"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think the F1-terminating donor should negotiate F1 transport migration with the target donor CU of the mIAB-MT HO. The Rel-17 Xn IAB Transport Migration Management procedure can be reused.</w:t>
            </w:r>
          </w:p>
        </w:tc>
      </w:tr>
      <w:tr w:rsidR="00A3488F" w14:paraId="58617F45" w14:textId="77777777">
        <w:trPr>
          <w:trHeight w:val="325"/>
        </w:trPr>
        <w:tc>
          <w:tcPr>
            <w:tcW w:w="1378" w:type="dxa"/>
          </w:tcPr>
          <w:p w14:paraId="58617F42" w14:textId="77777777" w:rsidR="00A3488F" w:rsidRDefault="00D4377D">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1203" w:type="dxa"/>
          </w:tcPr>
          <w:p w14:paraId="58617F43"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29" w:type="dxa"/>
          </w:tcPr>
          <w:p w14:paraId="58617F44"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7F49" w14:textId="77777777">
        <w:trPr>
          <w:trHeight w:val="342"/>
        </w:trPr>
        <w:tc>
          <w:tcPr>
            <w:tcW w:w="1378" w:type="dxa"/>
          </w:tcPr>
          <w:p w14:paraId="58617F46"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3" w:type="dxa"/>
          </w:tcPr>
          <w:p w14:paraId="58617F47"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29" w:type="dxa"/>
          </w:tcPr>
          <w:p w14:paraId="58617F48"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operator who deploy mobile IAB, the transport network needs to support the Xn connectivity between the two donor CUs. </w:t>
            </w:r>
          </w:p>
        </w:tc>
      </w:tr>
      <w:tr w:rsidR="00A3488F" w14:paraId="58617F4D" w14:textId="77777777">
        <w:trPr>
          <w:trHeight w:val="342"/>
        </w:trPr>
        <w:tc>
          <w:tcPr>
            <w:tcW w:w="1378" w:type="dxa"/>
          </w:tcPr>
          <w:p w14:paraId="58617F4A"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 xml:space="preserve">enovo </w:t>
            </w:r>
          </w:p>
        </w:tc>
        <w:tc>
          <w:tcPr>
            <w:tcW w:w="1203" w:type="dxa"/>
          </w:tcPr>
          <w:p w14:paraId="58617F4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29" w:type="dxa"/>
          </w:tcPr>
          <w:p w14:paraId="58617F4C"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he F1 terminating donor triggers the IAB Transport Migration Management procedure to set up the resources under target IAB-donor-CU for the offloaded traffic.</w:t>
            </w:r>
          </w:p>
        </w:tc>
      </w:tr>
      <w:tr w:rsidR="00A3488F" w14:paraId="58617F51" w14:textId="77777777">
        <w:trPr>
          <w:trHeight w:val="342"/>
        </w:trPr>
        <w:tc>
          <w:tcPr>
            <w:tcW w:w="1378" w:type="dxa"/>
          </w:tcPr>
          <w:p w14:paraId="58617F4E"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w:t>
            </w:r>
          </w:p>
        </w:tc>
        <w:tc>
          <w:tcPr>
            <w:tcW w:w="1203" w:type="dxa"/>
          </w:tcPr>
          <w:p w14:paraId="58617F4F"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7229" w:type="dxa"/>
          </w:tcPr>
          <w:p w14:paraId="58617F50" w14:textId="77777777" w:rsidR="00A3488F" w:rsidRDefault="00A3488F">
            <w:pPr>
              <w:spacing w:before="120" w:after="0"/>
              <w:rPr>
                <w:rFonts w:ascii="Times New Roman" w:eastAsiaTheme="minorEastAsia" w:hAnsi="Times New Roman" w:cs="Times New Roman"/>
                <w:sz w:val="20"/>
                <w:szCs w:val="20"/>
                <w:lang w:eastAsia="zh-CN"/>
              </w:rPr>
            </w:pPr>
          </w:p>
        </w:tc>
      </w:tr>
      <w:tr w:rsidR="00A3488F" w14:paraId="58617F55" w14:textId="77777777">
        <w:trPr>
          <w:trHeight w:val="342"/>
        </w:trPr>
        <w:tc>
          <w:tcPr>
            <w:tcW w:w="1378" w:type="dxa"/>
          </w:tcPr>
          <w:p w14:paraId="58617F52"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3" w:type="dxa"/>
          </w:tcPr>
          <w:p w14:paraId="58617F53"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Yes </w:t>
            </w:r>
          </w:p>
        </w:tc>
        <w:tc>
          <w:tcPr>
            <w:tcW w:w="7229" w:type="dxa"/>
          </w:tcPr>
          <w:p w14:paraId="58617F54" w14:textId="77777777" w:rsidR="00A3488F" w:rsidRDefault="00A3488F">
            <w:pPr>
              <w:spacing w:before="120" w:after="0"/>
              <w:rPr>
                <w:rFonts w:ascii="Times New Roman" w:eastAsiaTheme="minorEastAsia" w:hAnsi="Times New Roman" w:cs="Times New Roman"/>
                <w:sz w:val="20"/>
                <w:szCs w:val="20"/>
                <w:lang w:val="en-GB" w:eastAsia="zh-CN"/>
              </w:rPr>
            </w:pPr>
          </w:p>
        </w:tc>
      </w:tr>
      <w:tr w:rsidR="00665DD5" w14:paraId="58617F5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617F56"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Samsung </w:t>
            </w:r>
          </w:p>
        </w:tc>
        <w:tc>
          <w:tcPr>
            <w:tcW w:w="1203" w:type="dxa"/>
            <w:tcBorders>
              <w:top w:val="single" w:sz="4" w:space="0" w:color="auto"/>
              <w:left w:val="single" w:sz="4" w:space="0" w:color="auto"/>
              <w:bottom w:val="single" w:sz="4" w:space="0" w:color="auto"/>
              <w:right w:val="single" w:sz="4" w:space="0" w:color="auto"/>
            </w:tcBorders>
          </w:tcPr>
          <w:p w14:paraId="58617F57"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Yes</w:t>
            </w:r>
          </w:p>
        </w:tc>
        <w:tc>
          <w:tcPr>
            <w:tcW w:w="7229" w:type="dxa"/>
            <w:tcBorders>
              <w:top w:val="single" w:sz="4" w:space="0" w:color="auto"/>
              <w:left w:val="single" w:sz="4" w:space="0" w:color="auto"/>
              <w:bottom w:val="single" w:sz="4" w:space="0" w:color="auto"/>
              <w:right w:val="single" w:sz="4" w:space="0" w:color="auto"/>
            </w:tcBorders>
          </w:tcPr>
          <w:p w14:paraId="58617F58" w14:textId="77777777" w:rsidR="00665DD5" w:rsidRDefault="00665DD5" w:rsidP="00665DD5">
            <w:pPr>
              <w:spacing w:before="120" w:after="0"/>
              <w:rPr>
                <w:rFonts w:ascii="Times New Roman" w:eastAsiaTheme="minorEastAsia" w:hAnsi="Times New Roman" w:cs="Times New Roman"/>
                <w:sz w:val="20"/>
                <w:szCs w:val="20"/>
                <w:lang w:eastAsia="zh-CN"/>
              </w:rPr>
            </w:pPr>
          </w:p>
        </w:tc>
      </w:tr>
    </w:tbl>
    <w:p w14:paraId="58617F6E" w14:textId="77777777" w:rsidR="00A3488F" w:rsidRDefault="00D4377D">
      <w:pPr>
        <w:spacing w:before="120" w:after="0"/>
        <w:rPr>
          <w:rFonts w:ascii="Times New Roman" w:hAnsi="Times New Roman" w:cs="Times New Roman"/>
          <w:sz w:val="20"/>
          <w:szCs w:val="22"/>
          <w:lang w:val="en-GB"/>
        </w:rPr>
      </w:pPr>
      <w:r>
        <w:rPr>
          <w:rFonts w:ascii="Times New Roman" w:hAnsi="Times New Roman" w:cs="Times New Roman"/>
          <w:color w:val="000000"/>
          <w:sz w:val="20"/>
          <w:szCs w:val="20"/>
          <w:lang w:val="en-GB"/>
        </w:rPr>
        <w:t>[Len5488] proposes to reuse the IAB Transport Migration Management procedure, to release the resources under IAB-donor-CU2 and to set up the resources under IAB-donor-CU3 for offloaded traffic, for consecutive partial migrations of mobile IAB-node. The Moderator believes that this proposal is implied in Q1-5.</w:t>
      </w:r>
    </w:p>
    <w:p w14:paraId="6A0B61F1" w14:textId="77777777" w:rsidR="00E74E34" w:rsidRPr="00FD58F2" w:rsidRDefault="00E74E34" w:rsidP="00E74E34">
      <w:pPr>
        <w:spacing w:before="120" w:after="0"/>
        <w:rPr>
          <w:rFonts w:ascii="Times New Roman" w:hAnsi="Times New Roman" w:cs="Times New Roman"/>
          <w:b/>
          <w:bCs/>
          <w:color w:val="4472C4" w:themeColor="accent1"/>
          <w:sz w:val="20"/>
          <w:szCs w:val="20"/>
          <w:u w:val="single"/>
          <w:lang w:val="en-GB"/>
        </w:rPr>
      </w:pPr>
      <w:r w:rsidRPr="00FD58F2">
        <w:rPr>
          <w:rFonts w:ascii="Times New Roman" w:hAnsi="Times New Roman" w:cs="Times New Roman"/>
          <w:b/>
          <w:bCs/>
          <w:color w:val="4472C4" w:themeColor="accent1"/>
          <w:sz w:val="20"/>
          <w:szCs w:val="20"/>
          <w:u w:val="single"/>
          <w:lang w:val="en-GB"/>
        </w:rPr>
        <w:t>Summary:</w:t>
      </w:r>
    </w:p>
    <w:p w14:paraId="51B94ED7" w14:textId="1EE54999" w:rsidR="00E74E34" w:rsidRPr="00143C38" w:rsidRDefault="00E74E34" w:rsidP="00E74E34">
      <w:pPr>
        <w:spacing w:before="120" w:after="0"/>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There seems to be a consensus</w:t>
      </w:r>
      <w:r>
        <w:rPr>
          <w:rFonts w:ascii="Times New Roman" w:hAnsi="Times New Roman" w:cs="Times New Roman"/>
          <w:color w:val="0070C0"/>
          <w:sz w:val="20"/>
          <w:szCs w:val="20"/>
          <w:lang w:val="en-GB"/>
        </w:rPr>
        <w:t>.</w:t>
      </w:r>
    </w:p>
    <w:p w14:paraId="58617F6F" w14:textId="7AAA08A1" w:rsidR="00A3488F" w:rsidRDefault="00E74E34" w:rsidP="00E74E34">
      <w:pPr>
        <w:spacing w:before="120" w:after="0"/>
        <w:rPr>
          <w:rFonts w:ascii="Times New Roman" w:hAnsi="Times New Roman" w:cs="Times New Roman"/>
          <w:sz w:val="20"/>
          <w:szCs w:val="22"/>
          <w:lang w:val="en-GB"/>
        </w:rPr>
      </w:pPr>
      <w:r w:rsidRPr="009435B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1-</w:t>
      </w:r>
      <w:r>
        <w:rPr>
          <w:rFonts w:ascii="Times New Roman" w:hAnsi="Times New Roman" w:cs="Times New Roman"/>
          <w:b/>
          <w:bCs/>
          <w:color w:val="00B050"/>
          <w:sz w:val="20"/>
          <w:szCs w:val="20"/>
          <w:lang w:val="en-GB"/>
        </w:rPr>
        <w:t>5</w:t>
      </w:r>
      <w:r>
        <w:rPr>
          <w:rFonts w:ascii="Times New Roman" w:hAnsi="Times New Roman" w:cs="Times New Roman"/>
          <w:b/>
          <w:bCs/>
          <w:color w:val="00B050"/>
          <w:sz w:val="20"/>
          <w:szCs w:val="20"/>
          <w:lang w:val="en-GB"/>
        </w:rPr>
        <w:t xml:space="preserve">: </w:t>
      </w:r>
      <w:r>
        <w:rPr>
          <w:rFonts w:ascii="Times New Roman" w:hAnsi="Times New Roman" w:cs="Times New Roman"/>
          <w:b/>
          <w:bCs/>
          <w:color w:val="00B050"/>
          <w:sz w:val="20"/>
          <w:szCs w:val="20"/>
          <w:lang w:val="en-GB"/>
        </w:rPr>
        <w:t>For</w:t>
      </w:r>
      <w:r w:rsidR="00E9268A">
        <w:rPr>
          <w:rFonts w:ascii="Times New Roman" w:hAnsi="Times New Roman" w:cs="Times New Roman"/>
          <w:b/>
          <w:bCs/>
          <w:color w:val="00B050"/>
          <w:sz w:val="20"/>
          <w:szCs w:val="20"/>
          <w:lang w:val="en-GB"/>
        </w:rPr>
        <w:t xml:space="preserve"> </w:t>
      </w:r>
      <w:r w:rsidRPr="00E74E34">
        <w:rPr>
          <w:rFonts w:ascii="Times New Roman" w:hAnsi="Times New Roman" w:cs="Times New Roman"/>
          <w:b/>
          <w:bCs/>
          <w:color w:val="00B050"/>
          <w:sz w:val="20"/>
          <w:szCs w:val="20"/>
          <w:lang w:val="en-GB"/>
        </w:rPr>
        <w:t>partial migration of mIAB-node, the donor CU serving the mIAB-DU and the target donor CU for the mIAB-MT HO can directly exchange Xn IAB Transport Migration messages, in case direct Xn connectivity exists (or is established) between the two donor CUs</w:t>
      </w:r>
      <w:r w:rsidR="00E9268A">
        <w:rPr>
          <w:rFonts w:ascii="Times New Roman" w:hAnsi="Times New Roman" w:cs="Times New Roman"/>
          <w:b/>
          <w:bCs/>
          <w:color w:val="00B050"/>
          <w:sz w:val="20"/>
          <w:szCs w:val="20"/>
          <w:lang w:val="en-GB"/>
        </w:rPr>
        <w:t>.</w:t>
      </w:r>
    </w:p>
    <w:p w14:paraId="58617F70" w14:textId="77777777" w:rsidR="00A3488F" w:rsidRDefault="00D4377D">
      <w:pPr>
        <w:pStyle w:val="Heading2"/>
        <w:rPr>
          <w:rFonts w:ascii="Arial" w:hAnsi="Arial" w:cs="Arial"/>
        </w:rPr>
      </w:pPr>
      <w:r>
        <w:rPr>
          <w:rFonts w:ascii="Arial" w:hAnsi="Arial" w:cs="Arial"/>
        </w:rPr>
        <w:lastRenderedPageBreak/>
        <w:t>Support for scenarios with no Xn/IP connectivity between donors</w:t>
      </w:r>
    </w:p>
    <w:p w14:paraId="58617F71" w14:textId="77777777" w:rsidR="00A3488F" w:rsidRDefault="00D4377D">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support for these scenarios was discussed in [Eri5345], [QC5359], [Nok5454], [Hua5680], [Sam5714], [ZTE5439] and [Len5488]. The two key issues in the discussion are:</w:t>
      </w:r>
    </w:p>
    <w:p w14:paraId="58617F72" w14:textId="77777777" w:rsidR="00A3488F" w:rsidRDefault="00D4377D">
      <w:pPr>
        <w:pStyle w:val="ListParagraph"/>
        <w:numPr>
          <w:ilvl w:val="0"/>
          <w:numId w:val="7"/>
        </w:numPr>
        <w:spacing w:before="120" w:after="0"/>
        <w:rPr>
          <w:rFonts w:ascii="Times New Roman" w:hAnsi="Times New Roman" w:cs="Times New Roman"/>
          <w:szCs w:val="22"/>
        </w:rPr>
      </w:pPr>
      <w:r>
        <w:rPr>
          <w:rFonts w:ascii="Times New Roman" w:hAnsi="Times New Roman" w:cs="Times New Roman"/>
          <w:szCs w:val="22"/>
        </w:rPr>
        <w:t>Whether to support partial inter-donor migration via NGAP.</w:t>
      </w:r>
    </w:p>
    <w:p w14:paraId="58617F73" w14:textId="77777777" w:rsidR="00A3488F" w:rsidRDefault="00D4377D">
      <w:pPr>
        <w:pStyle w:val="ListParagraph"/>
        <w:numPr>
          <w:ilvl w:val="0"/>
          <w:numId w:val="7"/>
        </w:numPr>
        <w:spacing w:before="120" w:after="0"/>
        <w:rPr>
          <w:rFonts w:ascii="Times New Roman" w:hAnsi="Times New Roman" w:cs="Times New Roman"/>
          <w:szCs w:val="22"/>
        </w:rPr>
      </w:pPr>
      <w:r>
        <w:rPr>
          <w:rFonts w:ascii="Times New Roman" w:hAnsi="Times New Roman" w:cs="Times New Roman"/>
          <w:szCs w:val="22"/>
        </w:rPr>
        <w:t>Whether to support inter-donor mIAB-node migration via NGAP.</w:t>
      </w:r>
    </w:p>
    <w:p w14:paraId="58617F74" w14:textId="77777777" w:rsidR="00A3488F" w:rsidRDefault="00D4377D">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Q2-1: Should RAN3 specify NG-</w:t>
      </w:r>
      <w:r>
        <w:rPr>
          <w:rFonts w:ascii="Times New Roman" w:hAnsi="Times New Roman" w:cs="Times New Roman"/>
          <w:b/>
          <w:bCs/>
          <w:sz w:val="20"/>
          <w:szCs w:val="20"/>
          <w:lang w:val="en-GB"/>
        </w:rPr>
        <w:t xml:space="preserve">based </w:t>
      </w:r>
      <w:r>
        <w:rPr>
          <w:rFonts w:ascii="Times New Roman" w:hAnsi="Times New Roman" w:cs="Times New Roman"/>
          <w:b/>
          <w:bCs/>
          <w:sz w:val="20"/>
          <w:szCs w:val="20"/>
        </w:rPr>
        <w:t>partial inter-donor migration for mIAB-nodes?</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A3488F" w14:paraId="58617F78" w14:textId="77777777">
        <w:trPr>
          <w:trHeight w:val="325"/>
        </w:trPr>
        <w:tc>
          <w:tcPr>
            <w:tcW w:w="1378" w:type="dxa"/>
          </w:tcPr>
          <w:p w14:paraId="58617F75"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8617F76"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8617F77"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3488F" w14:paraId="58617F7C" w14:textId="77777777">
        <w:trPr>
          <w:trHeight w:val="357"/>
        </w:trPr>
        <w:tc>
          <w:tcPr>
            <w:tcW w:w="1378" w:type="dxa"/>
          </w:tcPr>
          <w:p w14:paraId="58617F79"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58617F7A"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58617F7B" w14:textId="77777777" w:rsidR="00A3488F" w:rsidRDefault="00D4377D">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Xn</w:t>
            </w:r>
            <w:r>
              <w:rPr>
                <w:rFonts w:ascii="Times New Roman" w:hAnsi="Times New Roman" w:cs="Times New Roman"/>
                <w:sz w:val="20"/>
                <w:szCs w:val="20"/>
                <w:lang w:val="en-GB"/>
              </w:rPr>
              <w:t xml:space="preserve"> is typically (albeit not always) </w:t>
            </w:r>
            <w:r>
              <w:rPr>
                <w:rFonts w:ascii="Times New Roman" w:hAnsi="Times New Roman" w:cs="Times New Roman"/>
                <w:b/>
                <w:bCs/>
                <w:sz w:val="20"/>
                <w:szCs w:val="20"/>
                <w:lang w:val="en-GB"/>
              </w:rPr>
              <w:t xml:space="preserve">established between </w:t>
            </w:r>
            <w:r>
              <w:rPr>
                <w:rFonts w:ascii="Times New Roman" w:hAnsi="Times New Roman" w:cs="Times New Roman"/>
                <w:b/>
                <w:bCs/>
                <w:sz w:val="20"/>
                <w:szCs w:val="20"/>
                <w:u w:val="single"/>
                <w:lang w:val="en-GB"/>
              </w:rPr>
              <w:t>neighbour</w:t>
            </w:r>
            <w:r>
              <w:rPr>
                <w:rFonts w:ascii="Times New Roman" w:hAnsi="Times New Roman" w:cs="Times New Roman"/>
                <w:b/>
                <w:bCs/>
                <w:sz w:val="20"/>
                <w:szCs w:val="20"/>
                <w:lang w:val="en-GB"/>
              </w:rPr>
              <w:t xml:space="preserve"> gNBs</w:t>
            </w:r>
            <w:r>
              <w:rPr>
                <w:rFonts w:ascii="Times New Roman" w:hAnsi="Times New Roman" w:cs="Times New Roman"/>
                <w:sz w:val="20"/>
                <w:szCs w:val="20"/>
                <w:lang w:val="en-GB"/>
              </w:rPr>
              <w:t>. Lack of support for NG-based partial migration would mean that the mIAB-DU would need to be migrated between donors quite frequently. As soon as the mIAB-node leaves the radio coverage of the neighbour of the F1-terminating donor CU, the mIAB-DU will need to be migrated at every mIAB-MT inter-donor HO from that point onwards.</w:t>
            </w:r>
          </w:p>
        </w:tc>
      </w:tr>
      <w:tr w:rsidR="00A3488F" w14:paraId="58617F85" w14:textId="77777777">
        <w:trPr>
          <w:trHeight w:val="342"/>
        </w:trPr>
        <w:tc>
          <w:tcPr>
            <w:tcW w:w="1378" w:type="dxa"/>
          </w:tcPr>
          <w:p w14:paraId="58617F7D"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58617F7E"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See comments </w:t>
            </w:r>
          </w:p>
        </w:tc>
        <w:tc>
          <w:tcPr>
            <w:tcW w:w="7200" w:type="dxa"/>
          </w:tcPr>
          <w:p w14:paraId="58617F7F"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tend to discuss the scenarios in separate way:</w:t>
            </w:r>
          </w:p>
          <w:p w14:paraId="58617F80" w14:textId="77777777" w:rsidR="00A3488F" w:rsidRDefault="00D4377D">
            <w:pPr>
              <w:pStyle w:val="ListParagraph"/>
              <w:numPr>
                <w:ilvl w:val="0"/>
                <w:numId w:val="8"/>
              </w:numPr>
              <w:spacing w:before="120" w:after="0"/>
              <w:rPr>
                <w:rFonts w:ascii="Times New Roman" w:eastAsiaTheme="minorEastAsia" w:hAnsi="Times New Roman" w:cs="Times New Roman"/>
              </w:rPr>
            </w:pPr>
            <w:r>
              <w:rPr>
                <w:rFonts w:ascii="Times New Roman" w:eastAsiaTheme="minorEastAsia" w:hAnsi="Times New Roman" w:cs="Times New Roman"/>
                <w:b/>
              </w:rPr>
              <w:t>There is no IP route between the F1 terminating CU and the target donor DU</w:t>
            </w:r>
            <w:r>
              <w:rPr>
                <w:rFonts w:ascii="Times New Roman" w:eastAsiaTheme="minorEastAsia" w:hAnsi="Times New Roman" w:cs="Times New Roman"/>
              </w:rPr>
              <w:t xml:space="preserve">. Then partial migration should no longer be </w:t>
            </w:r>
            <w:proofErr w:type="gramStart"/>
            <w:r>
              <w:rPr>
                <w:rFonts w:ascii="Times New Roman" w:eastAsiaTheme="minorEastAsia" w:hAnsi="Times New Roman" w:cs="Times New Roman"/>
              </w:rPr>
              <w:t>used</w:t>
            </w:r>
            <w:proofErr w:type="gramEnd"/>
            <w:r>
              <w:rPr>
                <w:rFonts w:ascii="Times New Roman" w:eastAsiaTheme="minorEastAsia" w:hAnsi="Times New Roman" w:cs="Times New Roman"/>
              </w:rPr>
              <w:t xml:space="preserve"> and IAB-DU migration should be performed.</w:t>
            </w:r>
          </w:p>
          <w:p w14:paraId="58617F81" w14:textId="77777777" w:rsidR="00A3488F" w:rsidRDefault="00D4377D">
            <w:pPr>
              <w:pStyle w:val="ListParagraph"/>
              <w:numPr>
                <w:ilvl w:val="0"/>
                <w:numId w:val="8"/>
              </w:numPr>
              <w:spacing w:before="120" w:after="0"/>
              <w:rPr>
                <w:rFonts w:ascii="Times New Roman" w:eastAsiaTheme="minorEastAsia" w:hAnsi="Times New Roman" w:cs="Times New Roman"/>
              </w:rPr>
            </w:pPr>
            <w:r>
              <w:rPr>
                <w:rFonts w:ascii="Times New Roman" w:eastAsiaTheme="minorEastAsia" w:hAnsi="Times New Roman" w:cs="Times New Roman"/>
                <w:b/>
              </w:rPr>
              <w:t>There is no Xn interface between the F1-terminating CU and the target donor CU</w:t>
            </w:r>
            <w:r>
              <w:rPr>
                <w:rFonts w:ascii="Times New Roman" w:eastAsiaTheme="minorEastAsia" w:hAnsi="Times New Roman" w:cs="Times New Roman"/>
              </w:rPr>
              <w:t xml:space="preserve">. If using partial migration in this case, the Xn based HO can be performed for the IAB-MT, but how to perform the traffic migration to the target donor needs more discussion. </w:t>
            </w:r>
          </w:p>
          <w:p w14:paraId="58617F82" w14:textId="77777777" w:rsidR="00A3488F" w:rsidRDefault="00D4377D">
            <w:pPr>
              <w:pStyle w:val="ListParagraph"/>
              <w:numPr>
                <w:ilvl w:val="0"/>
                <w:numId w:val="8"/>
              </w:numPr>
              <w:spacing w:before="120" w:after="0"/>
              <w:rPr>
                <w:rFonts w:ascii="Times New Roman" w:eastAsiaTheme="minorEastAsia" w:hAnsi="Times New Roman" w:cs="Times New Roman"/>
              </w:rPr>
            </w:pPr>
            <w:r>
              <w:rPr>
                <w:rFonts w:ascii="Times New Roman" w:eastAsiaTheme="minorEastAsia" w:hAnsi="Times New Roman" w:cs="Times New Roman"/>
                <w:b/>
              </w:rPr>
              <w:t>There is no Xn interface between the source CU of IAB-MT and the target donor CU</w:t>
            </w:r>
            <w:r>
              <w:rPr>
                <w:rFonts w:ascii="Times New Roman" w:eastAsiaTheme="minorEastAsia" w:hAnsi="Times New Roman" w:cs="Times New Roman"/>
              </w:rPr>
              <w:t>. In this case, if we want to support partial migration, the NG based migration can be performed for the IAB-MT. How to perform the traffic migration to the target donor needs more discussion.</w:t>
            </w:r>
          </w:p>
          <w:p w14:paraId="58617F83" w14:textId="77777777" w:rsidR="00A3488F" w:rsidRDefault="00D4377D">
            <w:pPr>
              <w:spacing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scenario 1 and 2/3 may have some dependency. For example, not sure it is still valid that if there is no Xn interface between the two donors, but the source donor can have IP route towards the target donor DU. </w:t>
            </w:r>
          </w:p>
          <w:p w14:paraId="58617F84" w14:textId="77777777" w:rsidR="00A3488F" w:rsidRDefault="00D4377D">
            <w:pPr>
              <w:spacing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addition, we think the </w:t>
            </w:r>
            <w:r>
              <w:rPr>
                <w:rFonts w:ascii="Times New Roman" w:eastAsiaTheme="minorEastAsia" w:hAnsi="Times New Roman" w:cs="Times New Roman"/>
                <w:b/>
                <w:lang w:eastAsia="zh-CN"/>
              </w:rPr>
              <w:t>Scenario 2 and Scenario 3 may be possible, but should be deprioritized</w:t>
            </w:r>
            <w:r>
              <w:rPr>
                <w:rFonts w:ascii="Times New Roman" w:eastAsiaTheme="minorEastAsia" w:hAnsi="Times New Roman" w:cs="Times New Roman"/>
                <w:lang w:eastAsia="zh-CN"/>
              </w:rPr>
              <w:t xml:space="preserve">, RAN3 can first focus on the case with Xn interface. </w:t>
            </w:r>
          </w:p>
        </w:tc>
      </w:tr>
      <w:tr w:rsidR="00A3488F" w14:paraId="58617F8A" w14:textId="77777777">
        <w:trPr>
          <w:trHeight w:val="325"/>
        </w:trPr>
        <w:tc>
          <w:tcPr>
            <w:tcW w:w="1378" w:type="dxa"/>
          </w:tcPr>
          <w:p w14:paraId="58617F86"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58617F87"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58617F89" w14:textId="0C7576C1"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Partial migration via NGAP implies that F1-U traffic is routed via NGAP. This is too much overhead on the control plane.</w:t>
            </w:r>
          </w:p>
        </w:tc>
      </w:tr>
      <w:tr w:rsidR="00A3488F" w14:paraId="58617F8E" w14:textId="77777777">
        <w:trPr>
          <w:trHeight w:val="342"/>
        </w:trPr>
        <w:tc>
          <w:tcPr>
            <w:tcW w:w="1378" w:type="dxa"/>
          </w:tcPr>
          <w:p w14:paraId="58617F8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58617F8C"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58617F8D" w14:textId="77777777" w:rsidR="00A3488F" w:rsidRDefault="00A3488F">
            <w:pPr>
              <w:spacing w:before="120" w:after="0"/>
              <w:rPr>
                <w:rFonts w:ascii="Times New Roman" w:eastAsiaTheme="minorEastAsia" w:hAnsi="Times New Roman" w:cs="Times New Roman"/>
                <w:sz w:val="20"/>
                <w:szCs w:val="20"/>
                <w:lang w:eastAsia="zh-CN"/>
              </w:rPr>
            </w:pPr>
          </w:p>
        </w:tc>
      </w:tr>
      <w:tr w:rsidR="00A3488F" w14:paraId="58617F92" w14:textId="77777777">
        <w:trPr>
          <w:trHeight w:val="325"/>
        </w:trPr>
        <w:tc>
          <w:tcPr>
            <w:tcW w:w="1378" w:type="dxa"/>
          </w:tcPr>
          <w:p w14:paraId="58617F8F" w14:textId="77777777" w:rsidR="00A3488F" w:rsidRDefault="00D4377D">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1209" w:type="dxa"/>
          </w:tcPr>
          <w:p w14:paraId="58617F90"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7F91"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7F99" w14:textId="77777777">
        <w:trPr>
          <w:trHeight w:val="342"/>
        </w:trPr>
        <w:tc>
          <w:tcPr>
            <w:tcW w:w="1378" w:type="dxa"/>
          </w:tcPr>
          <w:p w14:paraId="58617F93"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58617F94"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58617F95"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There is no technical issue preventing Xn/IP between gNBs. It is just configuration issue. </w:t>
            </w:r>
          </w:p>
          <w:p w14:paraId="58617F96"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operator who deploy mobile IAB, the transport network needs to be configured to support the Xn/IP connectivity between the two donor CUs. </w:t>
            </w:r>
          </w:p>
          <w:p w14:paraId="58617F98" w14:textId="628D7838" w:rsidR="00A3488F" w:rsidRPr="00822A86"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NG-HO can be supported for IAB-MT. but the F1 traffic migration is still performed via Xn (same as R17)</w:t>
            </w:r>
          </w:p>
        </w:tc>
      </w:tr>
      <w:tr w:rsidR="00A3488F" w14:paraId="58617F9D" w14:textId="77777777">
        <w:trPr>
          <w:trHeight w:val="342"/>
        </w:trPr>
        <w:tc>
          <w:tcPr>
            <w:tcW w:w="1378" w:type="dxa"/>
          </w:tcPr>
          <w:p w14:paraId="58617F9A"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val="en-GB" w:eastAsia="zh-CN"/>
              </w:rPr>
              <w:lastRenderedPageBreak/>
              <w:t>L</w:t>
            </w:r>
            <w:r>
              <w:rPr>
                <w:rFonts w:ascii="Times New Roman" w:eastAsia="SimSun" w:hAnsi="Times New Roman" w:cs="Times New Roman"/>
                <w:sz w:val="20"/>
                <w:szCs w:val="20"/>
                <w:lang w:val="en-GB" w:eastAsia="zh-CN"/>
              </w:rPr>
              <w:t>enovo</w:t>
            </w:r>
          </w:p>
        </w:tc>
        <w:tc>
          <w:tcPr>
            <w:tcW w:w="1209" w:type="dxa"/>
          </w:tcPr>
          <w:p w14:paraId="58617F9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7F9C"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ince we have agreed that mobile IAB-MT support consecutive partial migration without IAB-DU migration. In this case, there may be no direct Xn between F1 terminating donor and the target donor of IAB-MT. NG-based partial migration procedure is necessary for support of consecutive partial migration. </w:t>
            </w:r>
          </w:p>
        </w:tc>
      </w:tr>
      <w:tr w:rsidR="00A3488F" w14:paraId="58617FA1" w14:textId="77777777">
        <w:trPr>
          <w:trHeight w:val="342"/>
        </w:trPr>
        <w:tc>
          <w:tcPr>
            <w:tcW w:w="1378" w:type="dxa"/>
          </w:tcPr>
          <w:p w14:paraId="58617F9E"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w:t>
            </w:r>
          </w:p>
        </w:tc>
        <w:tc>
          <w:tcPr>
            <w:tcW w:w="1209" w:type="dxa"/>
          </w:tcPr>
          <w:p w14:paraId="58617F9F"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w:t>
            </w:r>
          </w:p>
        </w:tc>
        <w:tc>
          <w:tcPr>
            <w:tcW w:w="7200" w:type="dxa"/>
          </w:tcPr>
          <w:p w14:paraId="58617FA0"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As Nokia said, in absence of </w:t>
            </w:r>
            <w:r>
              <w:rPr>
                <w:rFonts w:ascii="Times New Roman" w:eastAsiaTheme="minorEastAsia" w:hAnsi="Times New Roman" w:cs="Times New Roman"/>
                <w:sz w:val="20"/>
                <w:szCs w:val="20"/>
                <w:lang w:val="en-GB" w:eastAsia="zh-CN"/>
              </w:rPr>
              <w:t xml:space="preserve">Xn/IP connectivity can be corner case in network deployment, and we also have concerns on the traffic latency if F1-U traffic is over NGAP. </w:t>
            </w:r>
          </w:p>
        </w:tc>
      </w:tr>
      <w:tr w:rsidR="00A3488F" w14:paraId="58617FA7" w14:textId="77777777">
        <w:trPr>
          <w:trHeight w:val="342"/>
        </w:trPr>
        <w:tc>
          <w:tcPr>
            <w:tcW w:w="1378" w:type="dxa"/>
          </w:tcPr>
          <w:p w14:paraId="58617FA2"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58617FA3"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See comments </w:t>
            </w:r>
          </w:p>
        </w:tc>
        <w:tc>
          <w:tcPr>
            <w:tcW w:w="7200" w:type="dxa"/>
          </w:tcPr>
          <w:p w14:paraId="58617FA4"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It depends on whether there is IP connectivity between F1 terminating CU and target DU. </w:t>
            </w:r>
          </w:p>
          <w:p w14:paraId="58617FA5"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Case 1: If there is no IP connectivity between F1 terminating CU and target DU, it is suggested that NG-based partial migration is not supported. Otherwise, both F1-C and F1-U traffic need to be transferred via NGAP, which would bring significant complexity. </w:t>
            </w:r>
          </w:p>
          <w:p w14:paraId="58617FA6" w14:textId="77777777" w:rsidR="00A3488F" w:rsidRDefault="00D4377D">
            <w:pPr>
              <w:spacing w:before="120" w:after="0"/>
              <w:rPr>
                <w:rFonts w:ascii="Times New Roman" w:eastAsia="SimSun"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Case 2: if there is IP connectivity between F1 terminating CU and target DU, but no Xn interface between F1-terminating and target donor, </w:t>
            </w:r>
            <w:r>
              <w:rPr>
                <w:rFonts w:ascii="Times New Roman" w:hAnsi="Times New Roman" w:cs="Times New Roman"/>
                <w:sz w:val="20"/>
                <w:szCs w:val="22"/>
                <w:lang w:val="en-GB"/>
              </w:rPr>
              <w:t>NG-</w:t>
            </w:r>
            <w:r>
              <w:rPr>
                <w:rFonts w:ascii="Times New Roman" w:hAnsi="Times New Roman" w:cs="Times New Roman"/>
                <w:sz w:val="20"/>
                <w:szCs w:val="20"/>
                <w:lang w:val="en-GB"/>
              </w:rPr>
              <w:t xml:space="preserve">based </w:t>
            </w:r>
            <w:r>
              <w:rPr>
                <w:rFonts w:ascii="Times New Roman" w:hAnsi="Times New Roman" w:cs="Times New Roman"/>
                <w:sz w:val="20"/>
                <w:szCs w:val="20"/>
              </w:rPr>
              <w:t>partial migration</w:t>
            </w:r>
            <w:r>
              <w:rPr>
                <w:rFonts w:ascii="Times New Roman" w:eastAsia="SimSun" w:hAnsi="Times New Roman" w:cs="Times New Roman" w:hint="eastAsia"/>
                <w:sz w:val="20"/>
                <w:szCs w:val="20"/>
                <w:lang w:eastAsia="zh-CN"/>
              </w:rPr>
              <w:t xml:space="preserve"> could be further discussed wherein F1-C/U traffic is transferred via the IP routing.  </w:t>
            </w:r>
          </w:p>
        </w:tc>
      </w:tr>
      <w:tr w:rsidR="00665DD5" w14:paraId="58617FA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617FA8"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Samsung </w:t>
            </w:r>
          </w:p>
        </w:tc>
        <w:tc>
          <w:tcPr>
            <w:tcW w:w="1209" w:type="dxa"/>
            <w:tcBorders>
              <w:top w:val="single" w:sz="4" w:space="0" w:color="auto"/>
              <w:left w:val="single" w:sz="4" w:space="0" w:color="auto"/>
              <w:bottom w:val="single" w:sz="4" w:space="0" w:color="auto"/>
              <w:right w:val="single" w:sz="4" w:space="0" w:color="auto"/>
            </w:tcBorders>
          </w:tcPr>
          <w:p w14:paraId="58617FA9"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Yes</w:t>
            </w:r>
          </w:p>
        </w:tc>
        <w:tc>
          <w:tcPr>
            <w:tcW w:w="7200" w:type="dxa"/>
            <w:tcBorders>
              <w:top w:val="single" w:sz="4" w:space="0" w:color="auto"/>
              <w:left w:val="single" w:sz="4" w:space="0" w:color="auto"/>
              <w:bottom w:val="single" w:sz="4" w:space="0" w:color="auto"/>
              <w:right w:val="single" w:sz="4" w:space="0" w:color="auto"/>
            </w:tcBorders>
          </w:tcPr>
          <w:p w14:paraId="58617FAA" w14:textId="77777777" w:rsidR="00665DD5" w:rsidRDefault="00665DD5" w:rsidP="00665DD5">
            <w:pPr>
              <w:spacing w:before="120" w:after="0"/>
              <w:rPr>
                <w:rFonts w:ascii="Times New Roman" w:eastAsiaTheme="minorEastAsia" w:hAnsi="Times New Roman" w:cs="Times New Roman"/>
                <w:sz w:val="20"/>
                <w:szCs w:val="20"/>
                <w:lang w:eastAsia="zh-CN"/>
              </w:rPr>
            </w:pPr>
          </w:p>
        </w:tc>
      </w:tr>
    </w:tbl>
    <w:p w14:paraId="7B04A7A7" w14:textId="77777777" w:rsidR="00DA26D4" w:rsidRPr="00FD58F2" w:rsidRDefault="00DA26D4" w:rsidP="00DA26D4">
      <w:pPr>
        <w:spacing w:before="120" w:after="0"/>
        <w:rPr>
          <w:rFonts w:ascii="Times New Roman" w:hAnsi="Times New Roman" w:cs="Times New Roman"/>
          <w:b/>
          <w:bCs/>
          <w:color w:val="4472C4" w:themeColor="accent1"/>
          <w:sz w:val="20"/>
          <w:szCs w:val="20"/>
          <w:u w:val="single"/>
          <w:lang w:val="en-GB"/>
        </w:rPr>
      </w:pPr>
      <w:r w:rsidRPr="00FD58F2">
        <w:rPr>
          <w:rFonts w:ascii="Times New Roman" w:hAnsi="Times New Roman" w:cs="Times New Roman"/>
          <w:b/>
          <w:bCs/>
          <w:color w:val="4472C4" w:themeColor="accent1"/>
          <w:sz w:val="20"/>
          <w:szCs w:val="20"/>
          <w:u w:val="single"/>
          <w:lang w:val="en-GB"/>
        </w:rPr>
        <w:t>Summary:</w:t>
      </w:r>
    </w:p>
    <w:p w14:paraId="7CA0BCBB" w14:textId="0C19773B" w:rsidR="00DA26D4" w:rsidRPr="00143C38" w:rsidRDefault="0008441A" w:rsidP="00DA26D4">
      <w:pPr>
        <w:spacing w:before="120" w:after="0"/>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5/10 in favo</w:t>
      </w:r>
      <w:r w:rsidR="00684C71">
        <w:rPr>
          <w:rFonts w:ascii="Times New Roman" w:hAnsi="Times New Roman" w:cs="Times New Roman"/>
          <w:color w:val="0070C0"/>
          <w:sz w:val="20"/>
          <w:szCs w:val="20"/>
          <w:lang w:val="en-GB"/>
        </w:rPr>
        <w:t>u</w:t>
      </w:r>
      <w:r>
        <w:rPr>
          <w:rFonts w:ascii="Times New Roman" w:hAnsi="Times New Roman" w:cs="Times New Roman"/>
          <w:color w:val="0070C0"/>
          <w:sz w:val="20"/>
          <w:szCs w:val="20"/>
          <w:lang w:val="en-GB"/>
        </w:rPr>
        <w:t xml:space="preserve">r, 3/10 against, </w:t>
      </w:r>
      <w:r w:rsidR="00684C71">
        <w:rPr>
          <w:rFonts w:ascii="Times New Roman" w:hAnsi="Times New Roman" w:cs="Times New Roman"/>
          <w:color w:val="0070C0"/>
          <w:sz w:val="20"/>
          <w:szCs w:val="20"/>
          <w:lang w:val="en-GB"/>
        </w:rPr>
        <w:t>2/10</w:t>
      </w:r>
      <w:r w:rsidR="00DA26D4">
        <w:rPr>
          <w:rFonts w:ascii="Times New Roman" w:hAnsi="Times New Roman" w:cs="Times New Roman"/>
          <w:color w:val="0070C0"/>
          <w:sz w:val="20"/>
          <w:szCs w:val="20"/>
          <w:lang w:val="en-GB"/>
        </w:rPr>
        <w:t xml:space="preserve"> </w:t>
      </w:r>
      <w:r w:rsidR="00684C71">
        <w:rPr>
          <w:rFonts w:ascii="Times New Roman" w:hAnsi="Times New Roman" w:cs="Times New Roman"/>
          <w:color w:val="0070C0"/>
          <w:sz w:val="20"/>
          <w:szCs w:val="20"/>
          <w:lang w:val="en-GB"/>
        </w:rPr>
        <w:t xml:space="preserve">thinks this depends on </w:t>
      </w:r>
      <w:r w:rsidR="00770457">
        <w:rPr>
          <w:rFonts w:ascii="Times New Roman" w:hAnsi="Times New Roman" w:cs="Times New Roman"/>
          <w:color w:val="0070C0"/>
          <w:sz w:val="20"/>
          <w:szCs w:val="20"/>
          <w:lang w:val="en-GB"/>
        </w:rPr>
        <w:t>which scenario is considered relevant.</w:t>
      </w:r>
    </w:p>
    <w:p w14:paraId="5D62BFBB" w14:textId="75FE6ED7" w:rsidR="00DA26D4" w:rsidRDefault="00DA26D4" w:rsidP="00DA26D4">
      <w:pPr>
        <w:spacing w:before="120" w:after="0"/>
        <w:rPr>
          <w:rFonts w:ascii="Times New Roman" w:hAnsi="Times New Roman" w:cs="Times New Roman"/>
          <w:b/>
          <w:bCs/>
          <w:sz w:val="20"/>
          <w:szCs w:val="20"/>
          <w:lang w:val="en-GB"/>
        </w:rPr>
      </w:pPr>
      <w:r w:rsidRPr="009435B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w:t>
      </w:r>
      <w:r>
        <w:rPr>
          <w:rFonts w:ascii="Times New Roman" w:hAnsi="Times New Roman" w:cs="Times New Roman"/>
          <w:b/>
          <w:bCs/>
          <w:color w:val="00B050"/>
          <w:sz w:val="20"/>
          <w:szCs w:val="20"/>
          <w:lang w:val="en-GB"/>
        </w:rPr>
        <w:t>2-1</w:t>
      </w:r>
      <w:r>
        <w:rPr>
          <w:rFonts w:ascii="Times New Roman" w:hAnsi="Times New Roman" w:cs="Times New Roman"/>
          <w:b/>
          <w:bCs/>
          <w:color w:val="00B050"/>
          <w:sz w:val="20"/>
          <w:szCs w:val="20"/>
          <w:lang w:val="en-GB"/>
        </w:rPr>
        <w:t>:</w:t>
      </w:r>
      <w:r w:rsidR="00822A86">
        <w:rPr>
          <w:rFonts w:ascii="Times New Roman" w:hAnsi="Times New Roman" w:cs="Times New Roman"/>
          <w:b/>
          <w:bCs/>
          <w:color w:val="00B050"/>
          <w:sz w:val="20"/>
          <w:szCs w:val="20"/>
          <w:lang w:val="en-GB"/>
        </w:rPr>
        <w:t xml:space="preserve"> Focus </w:t>
      </w:r>
      <w:r w:rsidR="00E90671">
        <w:rPr>
          <w:rFonts w:ascii="Times New Roman" w:hAnsi="Times New Roman" w:cs="Times New Roman"/>
          <w:b/>
          <w:bCs/>
          <w:color w:val="00B050"/>
          <w:sz w:val="20"/>
          <w:szCs w:val="20"/>
          <w:lang w:val="en-GB"/>
        </w:rPr>
        <w:t xml:space="preserve">first on the scenarios where Xn and IP connectivity are available between the source and target donors </w:t>
      </w:r>
      <w:r w:rsidR="002E4038">
        <w:rPr>
          <w:rFonts w:ascii="Times New Roman" w:hAnsi="Times New Roman" w:cs="Times New Roman"/>
          <w:b/>
          <w:bCs/>
          <w:color w:val="00B050"/>
          <w:sz w:val="20"/>
          <w:szCs w:val="20"/>
          <w:lang w:val="en-GB"/>
        </w:rPr>
        <w:t>for IAB-MT HO and mIAB-DU migration.</w:t>
      </w:r>
    </w:p>
    <w:p w14:paraId="48E146FA" w14:textId="77777777" w:rsidR="00DA26D4" w:rsidRDefault="00DA26D4">
      <w:pPr>
        <w:spacing w:before="120" w:after="0"/>
        <w:rPr>
          <w:rFonts w:ascii="Times New Roman" w:hAnsi="Times New Roman" w:cs="Times New Roman"/>
          <w:b/>
          <w:bCs/>
          <w:sz w:val="20"/>
          <w:szCs w:val="20"/>
          <w:lang w:val="en-GB"/>
        </w:rPr>
      </w:pPr>
    </w:p>
    <w:p w14:paraId="58617FC0" w14:textId="30625EF2"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Q2-2: Should RAN3 specify NG-based </w:t>
      </w:r>
      <w:r>
        <w:rPr>
          <w:rFonts w:ascii="Times New Roman" w:hAnsi="Times New Roman" w:cs="Times New Roman"/>
          <w:b/>
          <w:bCs/>
          <w:sz w:val="20"/>
          <w:szCs w:val="20"/>
        </w:rPr>
        <w:t>inter-donor migration for mIAB-nodes?</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A3488F" w14:paraId="58617FC4" w14:textId="77777777">
        <w:trPr>
          <w:trHeight w:val="325"/>
        </w:trPr>
        <w:tc>
          <w:tcPr>
            <w:tcW w:w="1378" w:type="dxa"/>
          </w:tcPr>
          <w:p w14:paraId="58617FC1"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8617FC2"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8617FC3"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3488F" w14:paraId="58617FCB" w14:textId="77777777">
        <w:trPr>
          <w:trHeight w:val="357"/>
        </w:trPr>
        <w:tc>
          <w:tcPr>
            <w:tcW w:w="1378" w:type="dxa"/>
          </w:tcPr>
          <w:p w14:paraId="58617FC5"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58617FC6"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58617FC7" w14:textId="77777777" w:rsidR="00A3488F" w:rsidRDefault="00D4377D">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Xn connectivity between donor CUs cannot be ensured along the entire path</w:t>
            </w:r>
            <w:r>
              <w:rPr>
                <w:rFonts w:ascii="Times New Roman" w:hAnsi="Times New Roman" w:cs="Times New Roman"/>
                <w:sz w:val="20"/>
                <w:szCs w:val="20"/>
                <w:lang w:val="en-GB"/>
              </w:rPr>
              <w:t xml:space="preserve"> of the mIAB-node, so, inter-donor migration, including the inter-donor migration of the mIAB-DU should be supported.</w:t>
            </w:r>
          </w:p>
          <w:p w14:paraId="58617FC8" w14:textId="77777777" w:rsidR="00A3488F" w:rsidRDefault="00D4377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In addition, we think that the following options should be considered:</w:t>
            </w:r>
          </w:p>
          <w:p w14:paraId="58617FC9" w14:textId="77777777" w:rsidR="00A3488F" w:rsidRDefault="00D4377D">
            <w:pPr>
              <w:pStyle w:val="ListParagraph"/>
              <w:numPr>
                <w:ilvl w:val="0"/>
                <w:numId w:val="9"/>
              </w:numPr>
              <w:spacing w:before="120" w:after="0"/>
              <w:ind w:left="453"/>
              <w:rPr>
                <w:rFonts w:ascii="Times New Roman" w:hAnsi="Times New Roman" w:cs="Times New Roman"/>
              </w:rPr>
            </w:pPr>
            <w:r>
              <w:rPr>
                <w:rFonts w:ascii="Times New Roman" w:hAnsi="Times New Roman" w:cs="Times New Roman"/>
              </w:rPr>
              <w:t xml:space="preserve">Xn-based forwarding, where a donor CU with an Xn connection to the mIAB-DU’s donor and the mIAB-MT’s donor can relay the </w:t>
            </w:r>
            <w:proofErr w:type="spellStart"/>
            <w:r>
              <w:rPr>
                <w:rFonts w:ascii="Times New Roman" w:hAnsi="Times New Roman" w:cs="Times New Roman"/>
              </w:rPr>
              <w:t>XnAP</w:t>
            </w:r>
            <w:proofErr w:type="spellEnd"/>
            <w:r>
              <w:rPr>
                <w:rFonts w:ascii="Times New Roman" w:hAnsi="Times New Roman" w:cs="Times New Roman"/>
              </w:rPr>
              <w:t xml:space="preserve"> messages between the donors.</w:t>
            </w:r>
          </w:p>
          <w:p w14:paraId="58617FCA" w14:textId="77777777" w:rsidR="00A3488F" w:rsidRDefault="00D4377D">
            <w:pPr>
              <w:pStyle w:val="ListParagraph"/>
              <w:numPr>
                <w:ilvl w:val="0"/>
                <w:numId w:val="9"/>
              </w:numPr>
              <w:spacing w:before="120" w:after="0"/>
              <w:ind w:left="453"/>
              <w:rPr>
                <w:rFonts w:ascii="Times New Roman" w:hAnsi="Times New Roman" w:cs="Times New Roman"/>
              </w:rPr>
            </w:pPr>
            <w:r>
              <w:rPr>
                <w:rFonts w:ascii="Times New Roman" w:hAnsi="Times New Roman" w:cs="Times New Roman"/>
              </w:rPr>
              <w:t>Using the mIAB-node as the relay for communication between the donors.</w:t>
            </w:r>
          </w:p>
        </w:tc>
      </w:tr>
      <w:tr w:rsidR="00A3488F" w14:paraId="58617FD2" w14:textId="77777777">
        <w:trPr>
          <w:trHeight w:val="342"/>
        </w:trPr>
        <w:tc>
          <w:tcPr>
            <w:tcW w:w="1378" w:type="dxa"/>
          </w:tcPr>
          <w:p w14:paraId="58617FCC"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58617FCD"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w:t>
            </w:r>
          </w:p>
        </w:tc>
        <w:tc>
          <w:tcPr>
            <w:tcW w:w="7200" w:type="dxa"/>
          </w:tcPr>
          <w:p w14:paraId="58617FCE"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This question is not clear to us, is it aims at the IAB-DU migration via NG interface? If there is no Xn interface between the source CU of IAB-MT and the target donor CU, IAB-MT may perform NG based HO, then the following issue should be solved: </w:t>
            </w:r>
          </w:p>
          <w:p w14:paraId="58617FCF" w14:textId="77777777" w:rsidR="00A3488F" w:rsidRDefault="00D4377D">
            <w:pPr>
              <w:pStyle w:val="ListParagraph"/>
              <w:numPr>
                <w:ilvl w:val="0"/>
                <w:numId w:val="10"/>
              </w:numPr>
              <w:spacing w:before="120" w:after="0"/>
              <w:rPr>
                <w:rFonts w:ascii="Times New Roman" w:eastAsiaTheme="minorEastAsia" w:hAnsi="Times New Roman" w:cs="Times New Roman"/>
              </w:rPr>
            </w:pPr>
            <w:r>
              <w:rPr>
                <w:rFonts w:ascii="Times New Roman" w:eastAsiaTheme="minorEastAsia" w:hAnsi="Times New Roman" w:cs="Times New Roman"/>
              </w:rPr>
              <w:t>If IAB-MT HO is performed before IAB-DU migration, how to maintain the F1 connection between the mobile IAB-DU and the source F1 terminating CU, after the IAB-MT’s HO and before the UE’s HO.</w:t>
            </w:r>
          </w:p>
          <w:p w14:paraId="58617FD0" w14:textId="77777777" w:rsidR="00A3488F" w:rsidRDefault="00D4377D">
            <w:pPr>
              <w:pStyle w:val="ListParagraph"/>
              <w:numPr>
                <w:ilvl w:val="0"/>
                <w:numId w:val="10"/>
              </w:numPr>
              <w:spacing w:before="120" w:after="0"/>
              <w:rPr>
                <w:rFonts w:ascii="Times New Roman" w:eastAsiaTheme="minorEastAsia" w:hAnsi="Times New Roman" w:cs="Times New Roman"/>
              </w:rPr>
            </w:pPr>
            <w:r>
              <w:rPr>
                <w:rFonts w:ascii="Times New Roman" w:eastAsiaTheme="minorEastAsia" w:hAnsi="Times New Roman" w:cs="Times New Roman"/>
              </w:rPr>
              <w:t>If IAB-DU migration is performed before IAB-MT HO, how to establish and maintain the F1 connection between the mobile IAB-DU and the target donor CU, before the IAB-MT’s HO.</w:t>
            </w:r>
          </w:p>
          <w:p w14:paraId="58617FD1"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Based on the above understanding, we do not understand why to consider the Xn based forwarding or the mIAB as relay between donors.</w:t>
            </w:r>
          </w:p>
        </w:tc>
      </w:tr>
      <w:tr w:rsidR="00A3488F" w14:paraId="58617FD7" w14:textId="77777777">
        <w:trPr>
          <w:trHeight w:val="325"/>
        </w:trPr>
        <w:tc>
          <w:tcPr>
            <w:tcW w:w="1378" w:type="dxa"/>
          </w:tcPr>
          <w:p w14:paraId="58617FD3"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1209" w:type="dxa"/>
          </w:tcPr>
          <w:p w14:paraId="58617FD4"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7FD5"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It should only be supported for full migration since it is possible to conduct full migration without carrying UP traffic over NGAP.  </w:t>
            </w:r>
          </w:p>
          <w:p w14:paraId="58617FD6" w14:textId="77777777" w:rsidR="00A3488F" w:rsidRDefault="00D4377D">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 xml:space="preserve">Proposal: NG-based inter-donor migration is supported for full migration. </w:t>
            </w:r>
            <w:proofErr w:type="spellStart"/>
            <w:r>
              <w:rPr>
                <w:rFonts w:ascii="Times New Roman" w:eastAsiaTheme="minorEastAsia" w:hAnsi="Times New Roman" w:cs="Times New Roman"/>
                <w:b/>
                <w:bCs/>
                <w:sz w:val="20"/>
                <w:szCs w:val="20"/>
                <w:lang w:val="en-GB" w:eastAsia="zh-CN"/>
              </w:rPr>
              <w:t>Userplane</w:t>
            </w:r>
            <w:proofErr w:type="spellEnd"/>
            <w:r>
              <w:rPr>
                <w:rFonts w:ascii="Times New Roman" w:eastAsiaTheme="minorEastAsia" w:hAnsi="Times New Roman" w:cs="Times New Roman"/>
                <w:b/>
                <w:bCs/>
                <w:sz w:val="20"/>
                <w:szCs w:val="20"/>
                <w:lang w:val="en-GB" w:eastAsia="zh-CN"/>
              </w:rPr>
              <w:t xml:space="preserve"> traffic will not be transported over NGAP.  </w:t>
            </w:r>
          </w:p>
        </w:tc>
      </w:tr>
      <w:tr w:rsidR="00A3488F" w14:paraId="58617FDB" w14:textId="77777777">
        <w:trPr>
          <w:trHeight w:val="342"/>
        </w:trPr>
        <w:tc>
          <w:tcPr>
            <w:tcW w:w="1378" w:type="dxa"/>
          </w:tcPr>
          <w:p w14:paraId="58617FD8"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58617FD9"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58617FDA" w14:textId="77777777" w:rsidR="00A3488F" w:rsidRDefault="00A3488F">
            <w:pPr>
              <w:spacing w:before="120" w:after="0"/>
              <w:rPr>
                <w:rFonts w:ascii="Times New Roman" w:eastAsiaTheme="minorEastAsia" w:hAnsi="Times New Roman" w:cs="Times New Roman"/>
                <w:sz w:val="20"/>
                <w:szCs w:val="20"/>
                <w:lang w:eastAsia="zh-CN"/>
              </w:rPr>
            </w:pPr>
          </w:p>
        </w:tc>
      </w:tr>
      <w:tr w:rsidR="00A3488F" w14:paraId="58617FDF" w14:textId="77777777">
        <w:trPr>
          <w:trHeight w:val="325"/>
        </w:trPr>
        <w:tc>
          <w:tcPr>
            <w:tcW w:w="1378" w:type="dxa"/>
          </w:tcPr>
          <w:p w14:paraId="58617FDC" w14:textId="77777777" w:rsidR="00A3488F" w:rsidRDefault="00D4377D">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1209" w:type="dxa"/>
          </w:tcPr>
          <w:p w14:paraId="58617FDD"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7FDE"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7FE5" w14:textId="77777777">
        <w:trPr>
          <w:trHeight w:val="342"/>
        </w:trPr>
        <w:tc>
          <w:tcPr>
            <w:tcW w:w="1378" w:type="dxa"/>
          </w:tcPr>
          <w:p w14:paraId="58617FE0"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58617FE1"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58617FE2"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Refer to our comments on Q2-1, there is no technical issue preventing Xn/IP. It is just a configuration issue. </w:t>
            </w:r>
            <w:proofErr w:type="gramStart"/>
            <w:r>
              <w:rPr>
                <w:rFonts w:ascii="Times New Roman" w:eastAsiaTheme="minorEastAsia" w:hAnsi="Times New Roman" w:cs="Times New Roman"/>
                <w:sz w:val="20"/>
                <w:szCs w:val="20"/>
                <w:lang w:val="en-GB" w:eastAsia="zh-CN"/>
              </w:rPr>
              <w:t>Operator</w:t>
            </w:r>
            <w:proofErr w:type="gramEnd"/>
            <w:r>
              <w:rPr>
                <w:rFonts w:ascii="Times New Roman" w:eastAsiaTheme="minorEastAsia" w:hAnsi="Times New Roman" w:cs="Times New Roman"/>
                <w:sz w:val="20"/>
                <w:szCs w:val="20"/>
                <w:lang w:val="en-GB" w:eastAsia="zh-CN"/>
              </w:rPr>
              <w:t xml:space="preserve"> need to reconfigure their transport network to support mobile IAB.</w:t>
            </w:r>
          </w:p>
          <w:p w14:paraId="58617FE3"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NG-HO can be used for IAB-MT, but the traffic migration is still performed via Xn.</w:t>
            </w:r>
          </w:p>
          <w:p w14:paraId="58617FE4" w14:textId="77777777" w:rsidR="00A3488F" w:rsidRDefault="00A3488F">
            <w:pPr>
              <w:spacing w:before="120" w:after="0"/>
              <w:rPr>
                <w:rFonts w:ascii="Times New Roman" w:eastAsiaTheme="minorEastAsia" w:hAnsi="Times New Roman" w:cs="Times New Roman"/>
                <w:sz w:val="20"/>
                <w:szCs w:val="20"/>
                <w:lang w:eastAsia="zh-CN"/>
              </w:rPr>
            </w:pPr>
          </w:p>
        </w:tc>
      </w:tr>
      <w:tr w:rsidR="00A3488F" w14:paraId="58617FE9" w14:textId="77777777">
        <w:trPr>
          <w:trHeight w:val="342"/>
        </w:trPr>
        <w:tc>
          <w:tcPr>
            <w:tcW w:w="1378" w:type="dxa"/>
          </w:tcPr>
          <w:p w14:paraId="58617FE6"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58617FE7"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58617FE8"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Same as Q2-1. </w:t>
            </w:r>
          </w:p>
        </w:tc>
      </w:tr>
      <w:tr w:rsidR="00A3488F" w14:paraId="58617FED" w14:textId="77777777">
        <w:trPr>
          <w:trHeight w:val="342"/>
        </w:trPr>
        <w:tc>
          <w:tcPr>
            <w:tcW w:w="1378" w:type="dxa"/>
          </w:tcPr>
          <w:p w14:paraId="58617FEA"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w:t>
            </w:r>
          </w:p>
        </w:tc>
        <w:tc>
          <w:tcPr>
            <w:tcW w:w="1209" w:type="dxa"/>
          </w:tcPr>
          <w:p w14:paraId="58617FEB"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Later </w:t>
            </w:r>
          </w:p>
        </w:tc>
        <w:tc>
          <w:tcPr>
            <w:tcW w:w="7200" w:type="dxa"/>
          </w:tcPr>
          <w:p w14:paraId="58617FEC"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Prefer to discuss Xn-based solution first, NG-based solution should be de-prioritized.</w:t>
            </w:r>
          </w:p>
        </w:tc>
      </w:tr>
      <w:tr w:rsidR="00A3488F" w14:paraId="58617FF2" w14:textId="77777777">
        <w:trPr>
          <w:trHeight w:val="342"/>
        </w:trPr>
        <w:tc>
          <w:tcPr>
            <w:tcW w:w="1378" w:type="dxa"/>
          </w:tcPr>
          <w:p w14:paraId="58617FEE"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58617FEF"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See comments</w:t>
            </w:r>
          </w:p>
        </w:tc>
        <w:tc>
          <w:tcPr>
            <w:tcW w:w="7200" w:type="dxa"/>
          </w:tcPr>
          <w:p w14:paraId="58617FF0" w14:textId="77777777" w:rsidR="00A3488F" w:rsidRDefault="00D4377D">
            <w:pPr>
              <w:spacing w:before="120" w:after="0"/>
              <w:rPr>
                <w:rFonts w:ascii="Times New Roman" w:eastAsia="SimSun"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If there is IP connectivity between F1 terminating CU and target DU, but no Xn interface between F1-terminating and target donor, </w:t>
            </w:r>
            <w:r>
              <w:rPr>
                <w:rFonts w:ascii="Times New Roman" w:hAnsi="Times New Roman" w:cs="Times New Roman"/>
                <w:sz w:val="20"/>
                <w:szCs w:val="22"/>
                <w:lang w:val="en-GB"/>
              </w:rPr>
              <w:t>NG-</w:t>
            </w:r>
            <w:r>
              <w:rPr>
                <w:rFonts w:ascii="Times New Roman" w:hAnsi="Times New Roman" w:cs="Times New Roman"/>
                <w:sz w:val="20"/>
                <w:szCs w:val="20"/>
                <w:lang w:val="en-GB"/>
              </w:rPr>
              <w:t xml:space="preserve">based </w:t>
            </w:r>
            <w:r>
              <w:rPr>
                <w:rFonts w:ascii="Times New Roman" w:eastAsia="SimSun" w:hAnsi="Times New Roman" w:cs="Times New Roman" w:hint="eastAsia"/>
                <w:sz w:val="20"/>
                <w:szCs w:val="20"/>
                <w:lang w:eastAsia="zh-CN"/>
              </w:rPr>
              <w:t xml:space="preserve">full </w:t>
            </w:r>
            <w:r>
              <w:rPr>
                <w:rFonts w:ascii="Times New Roman" w:hAnsi="Times New Roman" w:cs="Times New Roman"/>
                <w:sz w:val="20"/>
                <w:szCs w:val="20"/>
              </w:rPr>
              <w:t>migration</w:t>
            </w:r>
            <w:r>
              <w:rPr>
                <w:rFonts w:ascii="Times New Roman" w:eastAsia="SimSun" w:hAnsi="Times New Roman" w:cs="Times New Roman" w:hint="eastAsia"/>
                <w:sz w:val="20"/>
                <w:szCs w:val="20"/>
                <w:lang w:eastAsia="zh-CN"/>
              </w:rPr>
              <w:t xml:space="preserve"> could be further discussed wherein F1-C/U traffic is transferred via the IP routing.  </w:t>
            </w:r>
          </w:p>
          <w:p w14:paraId="58617FF1" w14:textId="77777777" w:rsidR="00A3488F" w:rsidRDefault="00D4377D">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If there is neither </w:t>
            </w:r>
            <w:r>
              <w:rPr>
                <w:rFonts w:ascii="Times New Roman" w:eastAsiaTheme="minorEastAsia" w:hAnsi="Times New Roman" w:cs="Times New Roman" w:hint="eastAsia"/>
                <w:sz w:val="20"/>
                <w:szCs w:val="20"/>
                <w:lang w:eastAsia="zh-CN"/>
              </w:rPr>
              <w:t xml:space="preserve">IP connectivity nor Xn interface, NG-based full migration without inter-donor transport migration could </w:t>
            </w:r>
            <w:proofErr w:type="gramStart"/>
            <w:r>
              <w:rPr>
                <w:rFonts w:ascii="Times New Roman" w:eastAsiaTheme="minorEastAsia" w:hAnsi="Times New Roman" w:cs="Times New Roman" w:hint="eastAsia"/>
                <w:sz w:val="20"/>
                <w:szCs w:val="20"/>
                <w:lang w:eastAsia="zh-CN"/>
              </w:rPr>
              <w:t>be  discussed</w:t>
            </w:r>
            <w:proofErr w:type="gramEnd"/>
            <w:r>
              <w:rPr>
                <w:rFonts w:ascii="Times New Roman" w:eastAsiaTheme="minorEastAsia" w:hAnsi="Times New Roman" w:cs="Times New Roman" w:hint="eastAsia"/>
                <w:sz w:val="20"/>
                <w:szCs w:val="20"/>
                <w:lang w:eastAsia="zh-CN"/>
              </w:rPr>
              <w:t>. And it should be discussed whether UE</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s </w:t>
            </w:r>
            <w:proofErr w:type="spellStart"/>
            <w:r>
              <w:rPr>
                <w:rFonts w:ascii="Times New Roman" w:eastAsiaTheme="minorEastAsia" w:hAnsi="Times New Roman" w:cs="Times New Roman" w:hint="eastAsia"/>
                <w:sz w:val="20"/>
                <w:szCs w:val="20"/>
                <w:lang w:eastAsia="zh-CN"/>
              </w:rPr>
              <w:t>RRCreconfiguration</w:t>
            </w:r>
            <w:proofErr w:type="spellEnd"/>
            <w:r>
              <w:rPr>
                <w:rFonts w:ascii="Times New Roman" w:eastAsiaTheme="minorEastAsia" w:hAnsi="Times New Roman" w:cs="Times New Roman" w:hint="eastAsia"/>
                <w:sz w:val="20"/>
                <w:szCs w:val="20"/>
                <w:lang w:eastAsia="zh-CN"/>
              </w:rPr>
              <w:t xml:space="preserve"> message is delivered via source path or target path. </w:t>
            </w:r>
          </w:p>
        </w:tc>
      </w:tr>
      <w:tr w:rsidR="00665DD5" w14:paraId="58617FF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617FF3"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Samsung</w:t>
            </w:r>
          </w:p>
        </w:tc>
        <w:tc>
          <w:tcPr>
            <w:tcW w:w="1209" w:type="dxa"/>
            <w:tcBorders>
              <w:top w:val="single" w:sz="4" w:space="0" w:color="auto"/>
              <w:left w:val="single" w:sz="4" w:space="0" w:color="auto"/>
              <w:bottom w:val="single" w:sz="4" w:space="0" w:color="auto"/>
              <w:right w:val="single" w:sz="4" w:space="0" w:color="auto"/>
            </w:tcBorders>
          </w:tcPr>
          <w:p w14:paraId="58617FF4"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Borders>
              <w:top w:val="single" w:sz="4" w:space="0" w:color="auto"/>
              <w:left w:val="single" w:sz="4" w:space="0" w:color="auto"/>
              <w:bottom w:val="single" w:sz="4" w:space="0" w:color="auto"/>
              <w:right w:val="single" w:sz="4" w:space="0" w:color="auto"/>
            </w:tcBorders>
          </w:tcPr>
          <w:p w14:paraId="58617FF5" w14:textId="77777777" w:rsidR="00665DD5" w:rsidRDefault="00665DD5" w:rsidP="00665DD5">
            <w:pPr>
              <w:spacing w:before="120" w:after="0"/>
              <w:rPr>
                <w:rFonts w:ascii="Times New Roman" w:eastAsiaTheme="minorEastAsia" w:hAnsi="Times New Roman" w:cs="Times New Roman"/>
                <w:sz w:val="20"/>
                <w:szCs w:val="20"/>
                <w:lang w:eastAsia="zh-CN"/>
              </w:rPr>
            </w:pPr>
            <w:r w:rsidRPr="00454E68">
              <w:rPr>
                <w:rFonts w:ascii="Times New Roman" w:eastAsiaTheme="minorEastAsia" w:hAnsi="Times New Roman" w:cs="Times New Roman"/>
                <w:sz w:val="20"/>
                <w:szCs w:val="20"/>
                <w:lang w:val="en-GB" w:eastAsia="zh-CN"/>
              </w:rPr>
              <w:t>NGAP can be used for inter-donor migration</w:t>
            </w:r>
            <w:r>
              <w:rPr>
                <w:rFonts w:ascii="Times New Roman" w:eastAsiaTheme="minorEastAsia" w:hAnsi="Times New Roman" w:cs="Times New Roman"/>
                <w:sz w:val="20"/>
                <w:szCs w:val="20"/>
                <w:lang w:val="en-GB" w:eastAsia="zh-CN"/>
              </w:rPr>
              <w:t xml:space="preserve"> </w:t>
            </w:r>
            <w:r w:rsidRPr="00454E68">
              <w:rPr>
                <w:rFonts w:ascii="Times New Roman" w:eastAsiaTheme="minorEastAsia" w:hAnsi="Times New Roman" w:cs="Times New Roman"/>
                <w:sz w:val="20"/>
                <w:szCs w:val="20"/>
                <w:lang w:val="en-GB" w:eastAsia="zh-CN"/>
              </w:rPr>
              <w:t>if Xn interface is not available.</w:t>
            </w:r>
          </w:p>
        </w:tc>
      </w:tr>
    </w:tbl>
    <w:p w14:paraId="6E031013" w14:textId="77777777" w:rsidR="00DA26D4" w:rsidRPr="00FD58F2" w:rsidRDefault="00DA26D4" w:rsidP="00DA26D4">
      <w:pPr>
        <w:spacing w:before="120" w:after="0"/>
        <w:rPr>
          <w:rFonts w:ascii="Times New Roman" w:hAnsi="Times New Roman" w:cs="Times New Roman"/>
          <w:b/>
          <w:bCs/>
          <w:color w:val="4472C4" w:themeColor="accent1"/>
          <w:sz w:val="20"/>
          <w:szCs w:val="20"/>
          <w:u w:val="single"/>
          <w:lang w:val="en-GB"/>
        </w:rPr>
      </w:pPr>
      <w:r w:rsidRPr="00FD58F2">
        <w:rPr>
          <w:rFonts w:ascii="Times New Roman" w:hAnsi="Times New Roman" w:cs="Times New Roman"/>
          <w:b/>
          <w:bCs/>
          <w:color w:val="4472C4" w:themeColor="accent1"/>
          <w:sz w:val="20"/>
          <w:szCs w:val="20"/>
          <w:u w:val="single"/>
          <w:lang w:val="en-GB"/>
        </w:rPr>
        <w:t>Summary:</w:t>
      </w:r>
    </w:p>
    <w:p w14:paraId="068CACEE" w14:textId="43E31209" w:rsidR="00DA26D4" w:rsidRPr="00143C38" w:rsidRDefault="00690635" w:rsidP="00DA26D4">
      <w:pPr>
        <w:spacing w:before="120" w:after="0"/>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6/10 in favo</w:t>
      </w:r>
      <w:r w:rsidR="008A3F66">
        <w:rPr>
          <w:rFonts w:ascii="Times New Roman" w:hAnsi="Times New Roman" w:cs="Times New Roman"/>
          <w:color w:val="0070C0"/>
          <w:sz w:val="20"/>
          <w:szCs w:val="20"/>
          <w:lang w:val="en-GB"/>
        </w:rPr>
        <w:t>u</w:t>
      </w:r>
      <w:r>
        <w:rPr>
          <w:rFonts w:ascii="Times New Roman" w:hAnsi="Times New Roman" w:cs="Times New Roman"/>
          <w:color w:val="0070C0"/>
          <w:sz w:val="20"/>
          <w:szCs w:val="20"/>
          <w:lang w:val="en-GB"/>
        </w:rPr>
        <w:t xml:space="preserve">r, </w:t>
      </w:r>
      <w:r w:rsidR="008A3F66">
        <w:rPr>
          <w:rFonts w:ascii="Times New Roman" w:hAnsi="Times New Roman" w:cs="Times New Roman"/>
          <w:color w:val="0070C0"/>
          <w:sz w:val="20"/>
          <w:szCs w:val="20"/>
          <w:lang w:val="en-GB"/>
        </w:rPr>
        <w:t>1/10 against, 1/10 wants to discuss this later</w:t>
      </w:r>
      <w:r w:rsidR="00177713">
        <w:rPr>
          <w:rFonts w:ascii="Times New Roman" w:hAnsi="Times New Roman" w:cs="Times New Roman"/>
          <w:color w:val="0070C0"/>
          <w:sz w:val="20"/>
          <w:szCs w:val="20"/>
          <w:lang w:val="en-GB"/>
        </w:rPr>
        <w:t>, 1/10 company wants to discuss this per scenario</w:t>
      </w:r>
      <w:r w:rsidR="008A3F66">
        <w:rPr>
          <w:rFonts w:ascii="Times New Roman" w:hAnsi="Times New Roman" w:cs="Times New Roman"/>
          <w:color w:val="0070C0"/>
          <w:sz w:val="20"/>
          <w:szCs w:val="20"/>
          <w:lang w:val="en-GB"/>
        </w:rPr>
        <w:t>.</w:t>
      </w:r>
      <w:r w:rsidR="00177713">
        <w:rPr>
          <w:rFonts w:ascii="Times New Roman" w:hAnsi="Times New Roman" w:cs="Times New Roman"/>
          <w:color w:val="0070C0"/>
          <w:sz w:val="20"/>
          <w:szCs w:val="20"/>
          <w:lang w:val="en-GB"/>
        </w:rPr>
        <w:t xml:space="preserve"> The Moderator points out that </w:t>
      </w:r>
      <w:r w:rsidR="00017854">
        <w:rPr>
          <w:rFonts w:ascii="Times New Roman" w:hAnsi="Times New Roman" w:cs="Times New Roman"/>
          <w:color w:val="0070C0"/>
          <w:sz w:val="20"/>
          <w:szCs w:val="20"/>
          <w:lang w:val="en-GB"/>
        </w:rPr>
        <w:t>the intention is to decide whether this WI will create NGAP impact. It does not specify in detail what the impact will be.</w:t>
      </w:r>
      <w:r w:rsidR="006C10D4">
        <w:rPr>
          <w:rFonts w:ascii="Times New Roman" w:hAnsi="Times New Roman" w:cs="Times New Roman"/>
          <w:color w:val="0070C0"/>
          <w:sz w:val="20"/>
          <w:szCs w:val="20"/>
          <w:lang w:val="en-GB"/>
        </w:rPr>
        <w:t xml:space="preserve"> Let’s try a general proposal.</w:t>
      </w:r>
    </w:p>
    <w:p w14:paraId="5DD2DC08" w14:textId="3ED14F21" w:rsidR="00DA26D4" w:rsidRDefault="00DA26D4" w:rsidP="00DA26D4">
      <w:pPr>
        <w:spacing w:before="120" w:after="0"/>
        <w:rPr>
          <w:rFonts w:ascii="Times New Roman" w:hAnsi="Times New Roman" w:cs="Times New Roman"/>
          <w:b/>
          <w:bCs/>
          <w:sz w:val="20"/>
          <w:szCs w:val="20"/>
          <w:lang w:val="en-GB"/>
        </w:rPr>
      </w:pPr>
      <w:r w:rsidRPr="009435B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2-</w:t>
      </w:r>
      <w:r>
        <w:rPr>
          <w:rFonts w:ascii="Times New Roman" w:hAnsi="Times New Roman" w:cs="Times New Roman"/>
          <w:b/>
          <w:bCs/>
          <w:color w:val="00B050"/>
          <w:sz w:val="20"/>
          <w:szCs w:val="20"/>
          <w:lang w:val="en-GB"/>
        </w:rPr>
        <w:t>2</w:t>
      </w:r>
      <w:r>
        <w:rPr>
          <w:rFonts w:ascii="Times New Roman" w:hAnsi="Times New Roman" w:cs="Times New Roman"/>
          <w:b/>
          <w:bCs/>
          <w:color w:val="00B050"/>
          <w:sz w:val="20"/>
          <w:szCs w:val="20"/>
          <w:lang w:val="en-GB"/>
        </w:rPr>
        <w:t>:</w:t>
      </w:r>
      <w:r w:rsidR="00017854">
        <w:rPr>
          <w:rFonts w:ascii="Times New Roman" w:hAnsi="Times New Roman" w:cs="Times New Roman"/>
          <w:b/>
          <w:bCs/>
          <w:color w:val="00B050"/>
          <w:sz w:val="20"/>
          <w:szCs w:val="20"/>
          <w:lang w:val="en-GB"/>
        </w:rPr>
        <w:t xml:space="preserve"> </w:t>
      </w:r>
      <w:r w:rsidR="006C10D4" w:rsidRPr="006C10D4">
        <w:rPr>
          <w:rFonts w:ascii="Times New Roman" w:hAnsi="Times New Roman" w:cs="Times New Roman"/>
          <w:b/>
          <w:bCs/>
          <w:color w:val="00B050"/>
          <w:sz w:val="20"/>
          <w:szCs w:val="20"/>
          <w:lang w:val="en-GB"/>
        </w:rPr>
        <w:t>Support mIAB-node mobility over</w:t>
      </w:r>
      <w:r w:rsidR="00017854" w:rsidRPr="006C10D4">
        <w:rPr>
          <w:rFonts w:ascii="Times New Roman" w:hAnsi="Times New Roman" w:cs="Times New Roman"/>
          <w:b/>
          <w:bCs/>
          <w:color w:val="00B050"/>
          <w:sz w:val="20"/>
          <w:szCs w:val="20"/>
          <w:lang w:val="en-GB"/>
        </w:rPr>
        <w:t xml:space="preserve"> </w:t>
      </w:r>
      <w:r w:rsidR="006C10D4" w:rsidRPr="006C10D4">
        <w:rPr>
          <w:rFonts w:ascii="Times New Roman" w:hAnsi="Times New Roman" w:cs="Times New Roman"/>
          <w:b/>
          <w:bCs/>
          <w:color w:val="00B050"/>
          <w:sz w:val="20"/>
          <w:szCs w:val="20"/>
          <w:lang w:val="en-GB"/>
        </w:rPr>
        <w:t>NGAP.</w:t>
      </w:r>
    </w:p>
    <w:p w14:paraId="5861800B" w14:textId="77777777" w:rsidR="00A3488F" w:rsidRDefault="00A3488F">
      <w:pPr>
        <w:spacing w:before="120" w:after="0"/>
        <w:rPr>
          <w:rFonts w:ascii="Times New Roman" w:hAnsi="Times New Roman" w:cs="Times New Roman"/>
          <w:b/>
          <w:bCs/>
          <w:color w:val="00B050"/>
          <w:sz w:val="20"/>
          <w:szCs w:val="22"/>
          <w:lang w:val="en-GB"/>
        </w:rPr>
      </w:pPr>
    </w:p>
    <w:p w14:paraId="5861800C" w14:textId="77777777" w:rsidR="00A3488F" w:rsidRDefault="00D4377D">
      <w:pPr>
        <w:pStyle w:val="Heading2"/>
        <w:rPr>
          <w:rFonts w:ascii="Arial" w:hAnsi="Arial" w:cs="Arial"/>
        </w:rPr>
      </w:pPr>
      <w:r>
        <w:rPr>
          <w:rFonts w:ascii="Arial" w:hAnsi="Arial" w:cs="Arial"/>
        </w:rPr>
        <w:t>Details of mIAB-DU inter-donor migration and UE HO</w:t>
      </w:r>
    </w:p>
    <w:p w14:paraId="5861800D" w14:textId="77777777" w:rsidR="00A3488F" w:rsidRDefault="00D4377D">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Papers [Fuj5435], </w:t>
      </w:r>
      <w:r>
        <w:rPr>
          <w:rFonts w:ascii="Times New Roman" w:hAnsi="Times New Roman" w:cs="Times New Roman"/>
          <w:color w:val="000000"/>
          <w:sz w:val="20"/>
          <w:szCs w:val="20"/>
          <w:lang w:val="en-GB"/>
        </w:rPr>
        <w:t>[QC5359],</w:t>
      </w:r>
      <w:r>
        <w:rPr>
          <w:rFonts w:ascii="Times New Roman" w:hAnsi="Times New Roman" w:cs="Times New Roman"/>
          <w:sz w:val="20"/>
          <w:szCs w:val="22"/>
          <w:lang w:val="en-GB"/>
        </w:rPr>
        <w:t xml:space="preserve"> [Nok5454] and [Hua5681] discuss the migration of F1 connection of mIAB-DU and the HO of served UEs.</w:t>
      </w:r>
    </w:p>
    <w:p w14:paraId="5861800E" w14:textId="77777777" w:rsidR="00A3488F" w:rsidRDefault="00D4377D">
      <w:pPr>
        <w:spacing w:before="120" w:after="0"/>
        <w:rPr>
          <w:rFonts w:ascii="Times New Roman" w:hAnsi="Times New Roman" w:cs="Times New Roman"/>
          <w:b/>
          <w:bCs/>
          <w:sz w:val="20"/>
          <w:szCs w:val="20"/>
        </w:rPr>
      </w:pPr>
      <w:r>
        <w:rPr>
          <w:rFonts w:ascii="Times New Roman" w:hAnsi="Times New Roman" w:cs="Times New Roman"/>
          <w:b/>
          <w:bCs/>
          <w:sz w:val="20"/>
          <w:szCs w:val="20"/>
          <w:lang w:val="en-GB"/>
        </w:rPr>
        <w:t xml:space="preserve">Potential proposal 3-1: </w:t>
      </w:r>
      <w:r>
        <w:rPr>
          <w:rFonts w:ascii="Times New Roman" w:hAnsi="Times New Roman" w:cs="Times New Roman"/>
          <w:b/>
          <w:bCs/>
          <w:sz w:val="20"/>
          <w:szCs w:val="20"/>
        </w:rPr>
        <w:t xml:space="preserve">RAN3 to </w:t>
      </w:r>
      <w:proofErr w:type="spellStart"/>
      <w:r>
        <w:rPr>
          <w:rFonts w:ascii="Times New Roman" w:hAnsi="Times New Roman" w:cs="Times New Roman"/>
          <w:b/>
          <w:bCs/>
          <w:sz w:val="20"/>
          <w:szCs w:val="20"/>
        </w:rPr>
        <w:t>downselect</w:t>
      </w:r>
      <w:proofErr w:type="spellEnd"/>
      <w:r>
        <w:rPr>
          <w:rFonts w:ascii="Times New Roman" w:hAnsi="Times New Roman" w:cs="Times New Roman"/>
          <w:b/>
          <w:bCs/>
          <w:sz w:val="20"/>
          <w:szCs w:val="20"/>
        </w:rPr>
        <w:t xml:space="preserve"> between Alt1 and Alt2 for implementing two logical mIAB-DUs.</w:t>
      </w:r>
    </w:p>
    <w:p w14:paraId="5861800F" w14:textId="77777777" w:rsidR="00A3488F" w:rsidRDefault="00D4377D">
      <w:pPr>
        <w:spacing w:before="120" w:after="0"/>
        <w:rPr>
          <w:rFonts w:ascii="Times New Roman" w:hAnsi="Times New Roman" w:cs="Times New Roman"/>
          <w:b/>
          <w:bCs/>
          <w:sz w:val="20"/>
          <w:szCs w:val="20"/>
        </w:rPr>
      </w:pPr>
      <w:r>
        <w:rPr>
          <w:rFonts w:ascii="Times New Roman" w:hAnsi="Times New Roman" w:cs="Times New Roman"/>
          <w:b/>
          <w:bCs/>
          <w:sz w:val="20"/>
          <w:szCs w:val="20"/>
        </w:rPr>
        <w:t>Q3-1: Do you agree to Potential proposal 3-1?</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A3488F" w14:paraId="58618013" w14:textId="77777777">
        <w:trPr>
          <w:trHeight w:val="325"/>
        </w:trPr>
        <w:tc>
          <w:tcPr>
            <w:tcW w:w="1378" w:type="dxa"/>
          </w:tcPr>
          <w:p w14:paraId="58618010"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8618011"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8618012"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3488F" w14:paraId="58618017" w14:textId="77777777">
        <w:trPr>
          <w:trHeight w:val="357"/>
        </w:trPr>
        <w:tc>
          <w:tcPr>
            <w:tcW w:w="1378" w:type="dxa"/>
          </w:tcPr>
          <w:p w14:paraId="58618014"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Ericsson</w:t>
            </w:r>
          </w:p>
        </w:tc>
        <w:tc>
          <w:tcPr>
            <w:tcW w:w="1209" w:type="dxa"/>
          </w:tcPr>
          <w:p w14:paraId="58618015"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58618016" w14:textId="77777777" w:rsidR="00A3488F" w:rsidRDefault="00D4377D">
            <w:pPr>
              <w:spacing w:before="120" w:after="0"/>
              <w:rPr>
                <w:rFonts w:ascii="Times New Roman" w:hAnsi="Times New Roman" w:cs="Times New Roman"/>
              </w:rPr>
            </w:pPr>
            <w:r>
              <w:rPr>
                <w:rFonts w:ascii="Times New Roman" w:hAnsi="Times New Roman" w:cs="Times New Roman"/>
                <w:sz w:val="20"/>
                <w:szCs w:val="22"/>
              </w:rPr>
              <w:t xml:space="preserve">We have liaised RAN1, RAN2 an RAN4. </w:t>
            </w:r>
            <w:r>
              <w:rPr>
                <w:rFonts w:ascii="Times New Roman" w:hAnsi="Times New Roman" w:cs="Times New Roman"/>
                <w:b/>
                <w:bCs/>
                <w:sz w:val="20"/>
                <w:szCs w:val="22"/>
              </w:rPr>
              <w:t>It is quite clear from the LS replies that Alt1 is less complex, with less spec impact</w:t>
            </w:r>
            <w:r>
              <w:rPr>
                <w:rFonts w:ascii="Times New Roman" w:hAnsi="Times New Roman" w:cs="Times New Roman"/>
                <w:sz w:val="20"/>
                <w:szCs w:val="22"/>
              </w:rPr>
              <w:t>. There is no reason to ask the other WGs the same question again.</w:t>
            </w:r>
          </w:p>
        </w:tc>
      </w:tr>
      <w:tr w:rsidR="00A3488F" w14:paraId="5861801B" w14:textId="77777777">
        <w:trPr>
          <w:trHeight w:val="342"/>
        </w:trPr>
        <w:tc>
          <w:tcPr>
            <w:tcW w:w="1378" w:type="dxa"/>
          </w:tcPr>
          <w:p w14:paraId="58618018"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58618019"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5861801A"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Based on the response from other WGs, we see Alt 1 is a better choice. If needed, RAN3 can liaise RAN1 on how to implement </w:t>
            </w:r>
            <w:r>
              <w:rPr>
                <w:rFonts w:ascii="Times New Roman" w:eastAsiaTheme="minorEastAsia" w:hAnsi="Times New Roman" w:cs="Times New Roman" w:hint="eastAsia"/>
                <w:sz w:val="20"/>
                <w:szCs w:val="20"/>
                <w:lang w:val="en-GB" w:eastAsia="zh-CN"/>
              </w:rPr>
              <w:t>Alt</w:t>
            </w:r>
            <w:r>
              <w:rPr>
                <w:rFonts w:ascii="Times New Roman" w:eastAsiaTheme="minorEastAsia" w:hAnsi="Times New Roman" w:cs="Times New Roman"/>
                <w:sz w:val="20"/>
                <w:szCs w:val="20"/>
                <w:lang w:val="en-GB" w:eastAsia="zh-CN"/>
              </w:rPr>
              <w:t xml:space="preserve"> 1 </w:t>
            </w:r>
            <w:r>
              <w:rPr>
                <w:rFonts w:ascii="Times New Roman" w:eastAsiaTheme="minorEastAsia" w:hAnsi="Times New Roman" w:cs="Times New Roman" w:hint="eastAsia"/>
                <w:sz w:val="20"/>
                <w:szCs w:val="20"/>
                <w:lang w:val="en-GB" w:eastAsia="zh-CN"/>
              </w:rPr>
              <w:t>after</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we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have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decision.</w:t>
            </w:r>
          </w:p>
        </w:tc>
      </w:tr>
      <w:tr w:rsidR="00A3488F" w14:paraId="58618024" w14:textId="77777777">
        <w:trPr>
          <w:trHeight w:val="325"/>
        </w:trPr>
        <w:tc>
          <w:tcPr>
            <w:tcW w:w="1378" w:type="dxa"/>
          </w:tcPr>
          <w:p w14:paraId="5861801C"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5861801D"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Not in RAN3 scope</w:t>
            </w:r>
          </w:p>
        </w:tc>
        <w:tc>
          <w:tcPr>
            <w:tcW w:w="7200" w:type="dxa"/>
          </w:tcPr>
          <w:p w14:paraId="5861801E"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RAN3, there are only two logical cells with different NCGIs. </w:t>
            </w:r>
          </w:p>
          <w:p w14:paraId="5861801F"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It is up to RAN2 to decide if these logical cells can appear as same or different physical cells to the UE. </w:t>
            </w:r>
          </w:p>
          <w:p w14:paraId="58618020"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It is up to RAN1 to decide how resources can be split based on RAN2’s discussion. </w:t>
            </w:r>
          </w:p>
          <w:p w14:paraId="58618021"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RAN2 is already discussing this matter. </w:t>
            </w:r>
          </w:p>
          <w:p w14:paraId="58618022"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RAN2 has already agreed to send an LS to RAN1 in this meeting. </w:t>
            </w:r>
          </w:p>
          <w:p w14:paraId="58618023"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802B" w14:textId="77777777">
        <w:trPr>
          <w:trHeight w:val="342"/>
        </w:trPr>
        <w:tc>
          <w:tcPr>
            <w:tcW w:w="1378" w:type="dxa"/>
          </w:tcPr>
          <w:p w14:paraId="58618025"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58618026"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Pr>
          <w:p w14:paraId="58618027"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RAN3 should not consider down selecting the implementation for two logical DUs. </w:t>
            </w:r>
          </w:p>
          <w:p w14:paraId="58618028"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RAN2 is under discussing about this issue and there is an agreement in RAN2#119e meeting for implementation for two logical DUs:</w:t>
            </w:r>
          </w:p>
          <w:p w14:paraId="58618029" w14:textId="77777777" w:rsidR="00A3488F" w:rsidRDefault="00D4377D">
            <w:pPr>
              <w:spacing w:before="120" w:after="0"/>
              <w:rPr>
                <w:rFonts w:ascii="Arial" w:eastAsia="MS Mincho" w:hAnsi="Arial"/>
                <w:b/>
                <w:bCs/>
                <w:sz w:val="20"/>
                <w:szCs w:val="21"/>
                <w:lang w:eastAsia="en-GB"/>
              </w:rPr>
            </w:pPr>
            <w:r>
              <w:rPr>
                <w:rFonts w:ascii="Arial" w:eastAsia="MS Mincho" w:hAnsi="Arial"/>
                <w:b/>
                <w:bCs/>
                <w:sz w:val="20"/>
                <w:szCs w:val="21"/>
                <w:lang w:eastAsia="en-GB"/>
              </w:rPr>
              <w:t>P3: For “dual-DU-way” of doing full migration, RAN2 may discuss whether the legacy UE should see the two logical cells/DUs as separate or same physical cell(s), and what procedure(s) the legacy UE needs to perform in either case.</w:t>
            </w:r>
          </w:p>
          <w:p w14:paraId="5861802A"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The agreement has not precluded any alternative (Alt.1 or Alt.2). Let’s wait for RAN2’s progress.</w:t>
            </w:r>
          </w:p>
        </w:tc>
      </w:tr>
      <w:tr w:rsidR="00A3488F" w14:paraId="5861802F" w14:textId="77777777">
        <w:trPr>
          <w:trHeight w:val="325"/>
        </w:trPr>
        <w:tc>
          <w:tcPr>
            <w:tcW w:w="1378" w:type="dxa"/>
          </w:tcPr>
          <w:p w14:paraId="5861802C" w14:textId="77777777" w:rsidR="00A3488F" w:rsidRDefault="00D4377D">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1209" w:type="dxa"/>
          </w:tcPr>
          <w:p w14:paraId="5861802D"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802E"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8035" w14:textId="77777777">
        <w:trPr>
          <w:trHeight w:val="342"/>
        </w:trPr>
        <w:tc>
          <w:tcPr>
            <w:tcW w:w="1378" w:type="dxa"/>
          </w:tcPr>
          <w:p w14:paraId="58618030"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58618031"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58618032"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This is not in RAN3 scope. </w:t>
            </w:r>
          </w:p>
          <w:p w14:paraId="58618033" w14:textId="77777777" w:rsidR="00A3488F" w:rsidRDefault="00D4377D">
            <w:pPr>
              <w:spacing w:before="120" w:after="0"/>
              <w:rPr>
                <w:rFonts w:ascii="Times New Roman" w:eastAsiaTheme="minorEastAsia" w:hAnsi="Times New Roman" w:cs="Times New Roman"/>
                <w:sz w:val="20"/>
                <w:szCs w:val="20"/>
                <w:lang w:eastAsia="zh-CN"/>
              </w:rPr>
            </w:pPr>
            <w:proofErr w:type="gramStart"/>
            <w:r>
              <w:rPr>
                <w:rFonts w:ascii="Times New Roman" w:eastAsiaTheme="minorEastAsia" w:hAnsi="Times New Roman" w:cs="Times New Roman"/>
                <w:sz w:val="20"/>
                <w:szCs w:val="20"/>
                <w:lang w:val="en-GB" w:eastAsia="zh-CN"/>
              </w:rPr>
              <w:t>As long as</w:t>
            </w:r>
            <w:proofErr w:type="gramEnd"/>
            <w:r>
              <w:rPr>
                <w:rFonts w:ascii="Times New Roman" w:eastAsiaTheme="minorEastAsia" w:hAnsi="Times New Roman" w:cs="Times New Roman"/>
                <w:sz w:val="20"/>
                <w:szCs w:val="20"/>
                <w:lang w:val="en-GB" w:eastAsia="zh-CN"/>
              </w:rPr>
              <w:t xml:space="preserve"> they are two logical DUs, it is enough for RAN3. The </w:t>
            </w:r>
            <w:proofErr w:type="spellStart"/>
            <w:r>
              <w:rPr>
                <w:rFonts w:ascii="Times New Roman" w:eastAsiaTheme="minorEastAsia" w:hAnsi="Times New Roman" w:cs="Times New Roman"/>
                <w:sz w:val="20"/>
                <w:szCs w:val="20"/>
                <w:lang w:val="en-GB" w:eastAsia="zh-CN"/>
              </w:rPr>
              <w:t>downselection</w:t>
            </w:r>
            <w:proofErr w:type="spellEnd"/>
            <w:r>
              <w:rPr>
                <w:rFonts w:ascii="Times New Roman" w:eastAsiaTheme="minorEastAsia" w:hAnsi="Times New Roman" w:cs="Times New Roman"/>
                <w:sz w:val="20"/>
                <w:szCs w:val="20"/>
                <w:lang w:val="en-GB" w:eastAsia="zh-CN"/>
              </w:rPr>
              <w:t xml:space="preserve"> should be performed in RAN1/2, since Alt1/2 are more related to RAN1/2.</w:t>
            </w:r>
          </w:p>
          <w:p w14:paraId="58618034" w14:textId="77777777" w:rsidR="00A3488F" w:rsidRDefault="00A3488F">
            <w:pPr>
              <w:spacing w:before="120" w:after="0"/>
              <w:rPr>
                <w:rFonts w:ascii="Times New Roman" w:eastAsiaTheme="minorEastAsia" w:hAnsi="Times New Roman" w:cs="Times New Roman"/>
                <w:sz w:val="20"/>
                <w:szCs w:val="20"/>
                <w:lang w:eastAsia="zh-CN"/>
              </w:rPr>
            </w:pPr>
          </w:p>
        </w:tc>
      </w:tr>
      <w:tr w:rsidR="00A3488F" w14:paraId="58618039" w14:textId="77777777">
        <w:trPr>
          <w:trHeight w:val="342"/>
        </w:trPr>
        <w:tc>
          <w:tcPr>
            <w:tcW w:w="1378" w:type="dxa"/>
          </w:tcPr>
          <w:p w14:paraId="58618036"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58618037"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Pr>
          <w:p w14:paraId="58618038"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ait for RAN 1/2 progress.</w:t>
            </w:r>
          </w:p>
        </w:tc>
      </w:tr>
      <w:tr w:rsidR="00A3488F" w14:paraId="5861803D" w14:textId="77777777">
        <w:trPr>
          <w:trHeight w:val="342"/>
        </w:trPr>
        <w:tc>
          <w:tcPr>
            <w:tcW w:w="1378" w:type="dxa"/>
          </w:tcPr>
          <w:p w14:paraId="5861803A"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w:t>
            </w:r>
          </w:p>
        </w:tc>
        <w:tc>
          <w:tcPr>
            <w:tcW w:w="1209" w:type="dxa"/>
          </w:tcPr>
          <w:p w14:paraId="5861803B"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w:t>
            </w:r>
          </w:p>
        </w:tc>
        <w:tc>
          <w:tcPr>
            <w:tcW w:w="7200" w:type="dxa"/>
          </w:tcPr>
          <w:p w14:paraId="5861803C"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ait for RAN 1/2 progress.</w:t>
            </w:r>
          </w:p>
        </w:tc>
      </w:tr>
      <w:tr w:rsidR="00A3488F" w14:paraId="58618041" w14:textId="77777777">
        <w:trPr>
          <w:trHeight w:val="342"/>
        </w:trPr>
        <w:tc>
          <w:tcPr>
            <w:tcW w:w="1378" w:type="dxa"/>
          </w:tcPr>
          <w:p w14:paraId="5861803E"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5861803F"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No </w:t>
            </w:r>
          </w:p>
        </w:tc>
        <w:tc>
          <w:tcPr>
            <w:tcW w:w="7200" w:type="dxa"/>
          </w:tcPr>
          <w:p w14:paraId="58618040"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Q</w:t>
            </w:r>
            <w:proofErr w:type="spellStart"/>
            <w:r>
              <w:rPr>
                <w:rFonts w:ascii="Times New Roman" w:eastAsiaTheme="minorEastAsia" w:hAnsi="Times New Roman" w:cs="Times New Roman"/>
                <w:sz w:val="20"/>
                <w:szCs w:val="20"/>
                <w:lang w:val="en-GB" w:eastAsia="zh-CN"/>
              </w:rPr>
              <w:t>ualcomm</w:t>
            </w:r>
            <w:proofErr w:type="spellEnd"/>
            <w:r>
              <w:rPr>
                <w:rFonts w:ascii="Times New Roman" w:eastAsiaTheme="minorEastAsia" w:hAnsi="Times New Roman" w:cs="Times New Roman" w:hint="eastAsia"/>
                <w:sz w:val="20"/>
                <w:szCs w:val="20"/>
                <w:lang w:eastAsia="zh-CN"/>
              </w:rPr>
              <w:t xml:space="preserve">, we can wait for the progress in RAN1. </w:t>
            </w:r>
          </w:p>
        </w:tc>
      </w:tr>
      <w:tr w:rsidR="00665DD5" w14:paraId="5861804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618042"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Samsung </w:t>
            </w:r>
          </w:p>
        </w:tc>
        <w:tc>
          <w:tcPr>
            <w:tcW w:w="1209" w:type="dxa"/>
            <w:tcBorders>
              <w:top w:val="single" w:sz="4" w:space="0" w:color="auto"/>
              <w:left w:val="single" w:sz="4" w:space="0" w:color="auto"/>
              <w:bottom w:val="single" w:sz="4" w:space="0" w:color="auto"/>
              <w:right w:val="single" w:sz="4" w:space="0" w:color="auto"/>
            </w:tcBorders>
          </w:tcPr>
          <w:p w14:paraId="58618043"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Borders>
              <w:top w:val="single" w:sz="4" w:space="0" w:color="auto"/>
              <w:left w:val="single" w:sz="4" w:space="0" w:color="auto"/>
              <w:bottom w:val="single" w:sz="4" w:space="0" w:color="auto"/>
              <w:right w:val="single" w:sz="4" w:space="0" w:color="auto"/>
            </w:tcBorders>
          </w:tcPr>
          <w:p w14:paraId="58618044"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Similar view with Ericsson.</w:t>
            </w:r>
          </w:p>
        </w:tc>
      </w:tr>
    </w:tbl>
    <w:p w14:paraId="6BD872AF" w14:textId="77777777" w:rsidR="003705E0" w:rsidRPr="00FD58F2" w:rsidRDefault="003705E0" w:rsidP="003705E0">
      <w:pPr>
        <w:spacing w:before="120" w:after="0"/>
        <w:rPr>
          <w:rFonts w:ascii="Times New Roman" w:hAnsi="Times New Roman" w:cs="Times New Roman"/>
          <w:b/>
          <w:bCs/>
          <w:color w:val="4472C4" w:themeColor="accent1"/>
          <w:sz w:val="20"/>
          <w:szCs w:val="20"/>
          <w:u w:val="single"/>
          <w:lang w:val="en-GB"/>
        </w:rPr>
      </w:pPr>
      <w:r w:rsidRPr="00FD58F2">
        <w:rPr>
          <w:rFonts w:ascii="Times New Roman" w:hAnsi="Times New Roman" w:cs="Times New Roman"/>
          <w:b/>
          <w:bCs/>
          <w:color w:val="4472C4" w:themeColor="accent1"/>
          <w:sz w:val="20"/>
          <w:szCs w:val="20"/>
          <w:u w:val="single"/>
          <w:lang w:val="en-GB"/>
        </w:rPr>
        <w:t>Summary:</w:t>
      </w:r>
    </w:p>
    <w:p w14:paraId="20049BC4" w14:textId="743DB6DC" w:rsidR="003705E0" w:rsidRDefault="003705E0" w:rsidP="003705E0">
      <w:pPr>
        <w:spacing w:before="120" w:after="0"/>
        <w:rPr>
          <w:rFonts w:ascii="Times New Roman" w:hAnsi="Times New Roman" w:cs="Times New Roman"/>
          <w:sz w:val="20"/>
          <w:szCs w:val="22"/>
          <w:lang w:val="en-GB"/>
        </w:rPr>
      </w:pPr>
      <w:r>
        <w:rPr>
          <w:rFonts w:ascii="Times New Roman" w:hAnsi="Times New Roman" w:cs="Times New Roman"/>
          <w:color w:val="0070C0"/>
          <w:sz w:val="20"/>
          <w:szCs w:val="20"/>
          <w:lang w:val="en-GB"/>
        </w:rPr>
        <w:t>4</w:t>
      </w:r>
      <w:r>
        <w:rPr>
          <w:rFonts w:ascii="Times New Roman" w:hAnsi="Times New Roman" w:cs="Times New Roman"/>
          <w:color w:val="0070C0"/>
          <w:sz w:val="20"/>
          <w:szCs w:val="20"/>
          <w:lang w:val="en-GB"/>
        </w:rPr>
        <w:t>/10 in</w:t>
      </w:r>
      <w:r>
        <w:rPr>
          <w:rFonts w:ascii="Times New Roman" w:hAnsi="Times New Roman" w:cs="Times New Roman"/>
          <w:color w:val="0070C0"/>
          <w:sz w:val="20"/>
          <w:szCs w:val="20"/>
          <w:lang w:val="en-GB"/>
        </w:rPr>
        <w:t xml:space="preserve"> favour, 6/10 against. No proposal.</w:t>
      </w:r>
    </w:p>
    <w:p w14:paraId="5861805A" w14:textId="3EFD8C85" w:rsidR="00A3488F" w:rsidRDefault="00D4377D">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Before it starts handing over the served UEs towards the target donor, the source donor needs to know the IDs of the cells served by the second logical mIAB-DU.</w:t>
      </w:r>
    </w:p>
    <w:p w14:paraId="5861805B" w14:textId="77777777" w:rsidR="00A3488F" w:rsidRDefault="00D4377D">
      <w:pPr>
        <w:spacing w:before="120" w:after="0"/>
        <w:rPr>
          <w:rFonts w:ascii="Times New Roman" w:hAnsi="Times New Roman" w:cs="Times New Roman"/>
          <w:b/>
          <w:bCs/>
          <w:sz w:val="20"/>
          <w:szCs w:val="20"/>
        </w:rPr>
      </w:pPr>
      <w:r>
        <w:rPr>
          <w:rFonts w:ascii="Times New Roman" w:hAnsi="Times New Roman" w:cs="Times New Roman"/>
          <w:b/>
          <w:bCs/>
          <w:sz w:val="20"/>
          <w:szCs w:val="20"/>
        </w:rPr>
        <w:t>Q3-2: How should the source donor CU for mIAB-DU migration find out the cell IDs served by the second logical mIAB-DU?</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8432"/>
      </w:tblGrid>
      <w:tr w:rsidR="00A3488F" w14:paraId="5861805E" w14:textId="77777777">
        <w:trPr>
          <w:trHeight w:val="325"/>
        </w:trPr>
        <w:tc>
          <w:tcPr>
            <w:tcW w:w="1378" w:type="dxa"/>
          </w:tcPr>
          <w:p w14:paraId="5861805C"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432" w:type="dxa"/>
          </w:tcPr>
          <w:p w14:paraId="5861805D"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r>
      <w:tr w:rsidR="00A3488F" w14:paraId="58618061" w14:textId="77777777">
        <w:trPr>
          <w:trHeight w:val="357"/>
        </w:trPr>
        <w:tc>
          <w:tcPr>
            <w:tcW w:w="1378" w:type="dxa"/>
          </w:tcPr>
          <w:p w14:paraId="5861805F"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8432" w:type="dxa"/>
          </w:tcPr>
          <w:p w14:paraId="58618060" w14:textId="77777777" w:rsidR="00A3488F" w:rsidRDefault="00D4377D">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 xml:space="preserve">Via </w:t>
            </w:r>
            <w:proofErr w:type="spellStart"/>
            <w:r>
              <w:rPr>
                <w:rFonts w:ascii="Times New Roman" w:hAnsi="Times New Roman" w:cs="Times New Roman"/>
                <w:b/>
                <w:bCs/>
                <w:sz w:val="20"/>
                <w:szCs w:val="20"/>
                <w:lang w:val="en-GB"/>
              </w:rPr>
              <w:t>XnAP</w:t>
            </w:r>
            <w:proofErr w:type="spellEnd"/>
            <w:r>
              <w:rPr>
                <w:rFonts w:ascii="Times New Roman" w:hAnsi="Times New Roman" w:cs="Times New Roman"/>
                <w:b/>
                <w:bCs/>
                <w:sz w:val="20"/>
                <w:szCs w:val="20"/>
                <w:lang w:val="en-GB"/>
              </w:rPr>
              <w:t xml:space="preserve">, from the </w:t>
            </w:r>
            <w:r>
              <w:rPr>
                <w:rFonts w:ascii="Times New Roman" w:hAnsi="Times New Roman" w:cs="Times New Roman"/>
                <w:b/>
                <w:bCs/>
                <w:sz w:val="20"/>
                <w:szCs w:val="20"/>
              </w:rPr>
              <w:t xml:space="preserve">target donor CU for mIAB-DU migration. </w:t>
            </w:r>
            <w:r>
              <w:rPr>
                <w:rFonts w:ascii="Times New Roman" w:hAnsi="Times New Roman" w:cs="Times New Roman"/>
                <w:sz w:val="20"/>
                <w:szCs w:val="20"/>
              </w:rPr>
              <w:t xml:space="preserve">For mIAB-DU migration,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partial migration, the source CU should send a request asking the target CU to accept the mIAB-</w:t>
            </w:r>
            <w:r>
              <w:rPr>
                <w:rFonts w:ascii="Times New Roman" w:hAnsi="Times New Roman" w:cs="Times New Roman"/>
                <w:sz w:val="20"/>
                <w:szCs w:val="20"/>
              </w:rPr>
              <w:lastRenderedPageBreak/>
              <w:t xml:space="preserve">DU, indicating the necessary resources. Some kind of “mIAB-DU context” should be provided. In the response, the target CU can indicate to the source CU the NCGIs of cells served by the second logical mIAB-DU. </w:t>
            </w:r>
          </w:p>
        </w:tc>
      </w:tr>
      <w:tr w:rsidR="00A3488F" w14:paraId="58618064" w14:textId="77777777">
        <w:trPr>
          <w:trHeight w:val="342"/>
        </w:trPr>
        <w:tc>
          <w:tcPr>
            <w:tcW w:w="1378" w:type="dxa"/>
          </w:tcPr>
          <w:p w14:paraId="58618062"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H</w:t>
            </w:r>
            <w:r>
              <w:rPr>
                <w:rFonts w:ascii="Times New Roman" w:eastAsiaTheme="minorEastAsia" w:hAnsi="Times New Roman" w:cs="Times New Roman"/>
                <w:sz w:val="20"/>
                <w:szCs w:val="20"/>
                <w:lang w:val="en-GB" w:eastAsia="zh-CN"/>
              </w:rPr>
              <w:t>uawei</w:t>
            </w:r>
          </w:p>
        </w:tc>
        <w:tc>
          <w:tcPr>
            <w:tcW w:w="8432" w:type="dxa"/>
          </w:tcPr>
          <w:p w14:paraId="58618063"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Not sure on the intention of this question, why the source CU should find out the cell ID of target logical DU? Is this for determining the target cell of UEs? If so, the source CU can know that from the UE’s measurement report as traditional way if the target cell is activated. Alternatively, if the two logical DUs have some cell configurations in common (e.g., with the same beam directions, the same slot configurations, and different carriers), the source cell served by source logical DU is 1-to-1 mapped to the target cell served by the target logical DU, then the UE’s target cell can be directly assigned by the mobile IAB-node or by the source CU after knowing the cell mapping relationship.</w:t>
            </w:r>
          </w:p>
        </w:tc>
      </w:tr>
      <w:tr w:rsidR="00A3488F" w14:paraId="5861806F" w14:textId="77777777">
        <w:trPr>
          <w:trHeight w:val="325"/>
        </w:trPr>
        <w:tc>
          <w:tcPr>
            <w:tcW w:w="1378" w:type="dxa"/>
          </w:tcPr>
          <w:p w14:paraId="58618065"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8432" w:type="dxa"/>
          </w:tcPr>
          <w:p w14:paraId="58618066"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Let’s do this in two steps: </w:t>
            </w:r>
          </w:p>
          <w:p w14:paraId="58618067" w14:textId="77777777" w:rsidR="00A3488F" w:rsidRDefault="00D4377D">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 xml:space="preserve">Proposal: The target logical DU performs F1 setup procedure with the target CU, where the target CU and the mIAB agree on the target served cell ID. </w:t>
            </w:r>
          </w:p>
          <w:p w14:paraId="58618068"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follow-up issue: In the legacy Xn HO procedure, the source CU includes the target cell ID in the UE handover request. It obtains this target cell ID from the UE’s measurement report. How would this work for DU migration?</w:t>
            </w:r>
          </w:p>
          <w:p w14:paraId="58618069" w14:textId="77777777" w:rsidR="00A3488F" w:rsidRDefault="00D4377D">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 xml:space="preserve">1. Option 1: The IAB-node forces the UE to send a measurement report by reducing the reference signal power of the source logical cell.  </w:t>
            </w:r>
          </w:p>
          <w:p w14:paraId="5861806A" w14:textId="77777777" w:rsidR="00A3488F" w:rsidRDefault="00D4377D">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2. Option 2: The source CU includes the source cell ID instead of the target cell ID into the UE handover request, and the target CU performs the mapping from source to target cell ID in some manner, e.g., the mIAB could have included the source cell ID in the F1 setup procedure.</w:t>
            </w:r>
          </w:p>
          <w:p w14:paraId="5861806B" w14:textId="77777777" w:rsidR="00A3488F" w:rsidRDefault="00D4377D">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3. Option 3: The source CU includes the target cell ID in the UE handover request after obtaining this ID from the target CU or from the mIAB-node.</w:t>
            </w:r>
          </w:p>
          <w:p w14:paraId="5861806C"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Option 1 can probably be ruled out. </w:t>
            </w:r>
          </w:p>
          <w:p w14:paraId="5861806D" w14:textId="77777777" w:rsidR="00A3488F" w:rsidRDefault="00D4377D">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Proposal: RAN3 to select between Option 2 and Option 3.</w:t>
            </w:r>
          </w:p>
          <w:p w14:paraId="5861806E"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8073" w14:textId="77777777">
        <w:trPr>
          <w:trHeight w:val="342"/>
        </w:trPr>
        <w:tc>
          <w:tcPr>
            <w:tcW w:w="1378" w:type="dxa"/>
          </w:tcPr>
          <w:p w14:paraId="58618070"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8432" w:type="dxa"/>
          </w:tcPr>
          <w:p w14:paraId="58618071"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During F1 establishment with the target donor-CU, mIAB-DU can report the old information (NCGI, PCI) used on the cell of source logical-DU to the target donor-CU. The target donor-CU can provide the new information used for the cell of target logical-DU.</w:t>
            </w:r>
          </w:p>
          <w:p w14:paraId="58618072"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After F1 establishment, the target donor-CU can initiate the NG-RAN Node Configuration Update procedure to the source donor-CU for the newly activated cell on the target logical DU. The mapping between the old information and the new information for the cell can be delivered by the NR-RAN Node Configuration Update message.</w:t>
            </w:r>
          </w:p>
        </w:tc>
      </w:tr>
      <w:tr w:rsidR="00A3488F" w14:paraId="58618076" w14:textId="77777777">
        <w:trPr>
          <w:trHeight w:val="325"/>
        </w:trPr>
        <w:tc>
          <w:tcPr>
            <w:tcW w:w="1378" w:type="dxa"/>
          </w:tcPr>
          <w:p w14:paraId="58618074" w14:textId="77777777" w:rsidR="00A3488F" w:rsidRDefault="00D4377D">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8432" w:type="dxa"/>
          </w:tcPr>
          <w:p w14:paraId="58618075"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Our understanding is this is related to section 3.1 of draft R3-225938 (CB: # IAB3_MobEnh). The target cell ID is needed so that the donor CU can update RANAC accordingly. So, these two discussions should converge.</w:t>
            </w:r>
          </w:p>
        </w:tc>
      </w:tr>
      <w:tr w:rsidR="00A3488F" w14:paraId="58618080" w14:textId="77777777">
        <w:trPr>
          <w:trHeight w:val="342"/>
        </w:trPr>
        <w:tc>
          <w:tcPr>
            <w:tcW w:w="1378" w:type="dxa"/>
          </w:tcPr>
          <w:p w14:paraId="58618077"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8432" w:type="dxa"/>
          </w:tcPr>
          <w:p w14:paraId="58618078"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It is not just the new cell ID, but the cell ID mapping. For example, mobile IAB is deployed on a train with 8 railway carriages.</w:t>
            </w:r>
          </w:p>
          <w:p w14:paraId="58618079" w14:textId="77777777" w:rsidR="00A3488F" w:rsidRDefault="00D4377D">
            <w:pPr>
              <w:pStyle w:val="ListParagraph"/>
              <w:numPr>
                <w:ilvl w:val="0"/>
                <w:numId w:val="9"/>
              </w:numPr>
              <w:spacing w:before="120" w:after="0"/>
              <w:rPr>
                <w:rFonts w:ascii="Times New Roman" w:eastAsiaTheme="minorEastAsia" w:hAnsi="Times New Roman" w:cs="Times New Roman"/>
              </w:rPr>
            </w:pPr>
            <w:r>
              <w:rPr>
                <w:rFonts w:ascii="Times New Roman" w:eastAsiaTheme="minorEastAsia" w:hAnsi="Times New Roman" w:cs="Times New Roman"/>
              </w:rPr>
              <w:t>Before migration, only IAB-DU1 is active. IAB-DU1 have 2 cells with cell ID 100 (covering carriage 1-4) and 101 (covering carriage 5-8)</w:t>
            </w:r>
          </w:p>
          <w:p w14:paraId="5861807A" w14:textId="77777777" w:rsidR="00A3488F" w:rsidRDefault="00D4377D">
            <w:pPr>
              <w:pStyle w:val="ListParagraph"/>
              <w:numPr>
                <w:ilvl w:val="0"/>
                <w:numId w:val="9"/>
              </w:numPr>
              <w:spacing w:before="120" w:after="0"/>
              <w:rPr>
                <w:rFonts w:ascii="Times New Roman" w:eastAsiaTheme="minorEastAsia" w:hAnsi="Times New Roman" w:cs="Times New Roman"/>
              </w:rPr>
            </w:pPr>
            <w:r>
              <w:rPr>
                <w:rFonts w:ascii="Times New Roman" w:eastAsiaTheme="minorEastAsia" w:hAnsi="Times New Roman" w:cs="Times New Roman"/>
              </w:rPr>
              <w:t xml:space="preserve">After migration, only IAB-DU2 is active. </w:t>
            </w:r>
            <w:proofErr w:type="gramStart"/>
            <w:r>
              <w:rPr>
                <w:rFonts w:ascii="Times New Roman" w:eastAsiaTheme="minorEastAsia" w:hAnsi="Times New Roman" w:cs="Times New Roman"/>
              </w:rPr>
              <w:t>Similar to</w:t>
            </w:r>
            <w:proofErr w:type="gramEnd"/>
            <w:r>
              <w:rPr>
                <w:rFonts w:ascii="Times New Roman" w:eastAsiaTheme="minorEastAsia" w:hAnsi="Times New Roman" w:cs="Times New Roman"/>
              </w:rPr>
              <w:t xml:space="preserve"> IAB-DU1, IAB-DU2 also have 2 cells with cell ID 200 (covering carriage 1-4) and 201 (covering carriage 5-8). </w:t>
            </w:r>
          </w:p>
          <w:p w14:paraId="5861807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Source CU need to know target cell ID 200 (rather than 201) is used for those UEs connecting with IAB-DU1 cell using cell ID 100. </w:t>
            </w:r>
          </w:p>
          <w:p w14:paraId="5861807C" w14:textId="77777777" w:rsidR="00A3488F" w:rsidRDefault="00D4377D">
            <w:pPr>
              <w:pStyle w:val="ListParagraph"/>
              <w:numPr>
                <w:ilvl w:val="0"/>
                <w:numId w:val="9"/>
              </w:numPr>
              <w:spacing w:before="120" w:after="0"/>
              <w:rPr>
                <w:rFonts w:ascii="Times New Roman" w:eastAsiaTheme="minorEastAsia" w:hAnsi="Times New Roman" w:cs="Times New Roman"/>
              </w:rPr>
            </w:pPr>
            <w:r>
              <w:rPr>
                <w:rFonts w:ascii="Times New Roman" w:eastAsiaTheme="minorEastAsia" w:hAnsi="Times New Roman" w:cs="Times New Roman"/>
              </w:rPr>
              <w:lastRenderedPageBreak/>
              <w:t>Option 1: OAM configures IAB-DU2 (</w:t>
            </w:r>
            <w:proofErr w:type="gramStart"/>
            <w:r>
              <w:rPr>
                <w:rFonts w:ascii="Times New Roman" w:eastAsiaTheme="minorEastAsia" w:hAnsi="Times New Roman" w:cs="Times New Roman"/>
              </w:rPr>
              <w:t>e.g.</w:t>
            </w:r>
            <w:proofErr w:type="gramEnd"/>
            <w:r>
              <w:rPr>
                <w:rFonts w:ascii="Times New Roman" w:eastAsiaTheme="minorEastAsia" w:hAnsi="Times New Roman" w:cs="Times New Roman"/>
              </w:rPr>
              <w:t xml:space="preserve"> cell ID), IAB-DU2 informs IAB-DU1 via implementation method since they are co-located, then IAB-DU1 informs source donor CU for the cell ID mapping via F1. </w:t>
            </w:r>
          </w:p>
          <w:p w14:paraId="5861807D" w14:textId="77777777" w:rsidR="00A3488F" w:rsidRDefault="00D4377D">
            <w:pPr>
              <w:pStyle w:val="ListParagraph"/>
              <w:numPr>
                <w:ilvl w:val="0"/>
                <w:numId w:val="9"/>
              </w:numPr>
              <w:spacing w:before="120" w:after="0"/>
              <w:rPr>
                <w:rFonts w:ascii="Times New Roman" w:eastAsiaTheme="minorEastAsia" w:hAnsi="Times New Roman" w:cs="Times New Roman"/>
              </w:rPr>
            </w:pPr>
            <w:r>
              <w:rPr>
                <w:rFonts w:ascii="Times New Roman" w:eastAsiaTheme="minorEastAsia" w:hAnsi="Times New Roman" w:cs="Times New Roman"/>
              </w:rPr>
              <w:t>Option 2:  OAM configures IAB-DU2 (</w:t>
            </w:r>
            <w:proofErr w:type="gramStart"/>
            <w:r>
              <w:rPr>
                <w:rFonts w:ascii="Times New Roman" w:eastAsiaTheme="minorEastAsia" w:hAnsi="Times New Roman" w:cs="Times New Roman"/>
              </w:rPr>
              <w:t>e.g.</w:t>
            </w:r>
            <w:proofErr w:type="gramEnd"/>
            <w:r>
              <w:rPr>
                <w:rFonts w:ascii="Times New Roman" w:eastAsiaTheme="minorEastAsia" w:hAnsi="Times New Roman" w:cs="Times New Roman"/>
              </w:rPr>
              <w:t xml:space="preserve"> cell ID), IAB-DU2 informs target CU for the cell ID mapping, then target CU informs source donor CU. </w:t>
            </w:r>
          </w:p>
          <w:p w14:paraId="5861807E" w14:textId="77777777" w:rsidR="00A3488F" w:rsidRDefault="00A3488F">
            <w:pPr>
              <w:pStyle w:val="ListParagraph"/>
              <w:spacing w:before="120" w:after="0"/>
              <w:rPr>
                <w:rFonts w:ascii="Times New Roman" w:eastAsiaTheme="minorEastAsia" w:hAnsi="Times New Roman" w:cs="Times New Roman"/>
              </w:rPr>
            </w:pPr>
          </w:p>
          <w:p w14:paraId="5861807F"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8083" w14:textId="77777777">
        <w:trPr>
          <w:trHeight w:val="342"/>
        </w:trPr>
        <w:tc>
          <w:tcPr>
            <w:tcW w:w="1378" w:type="dxa"/>
          </w:tcPr>
          <w:p w14:paraId="58618081"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val="en-GB" w:eastAsia="zh-CN"/>
              </w:rPr>
              <w:lastRenderedPageBreak/>
              <w:t>L</w:t>
            </w:r>
            <w:r>
              <w:rPr>
                <w:rFonts w:ascii="Times New Roman" w:eastAsia="SimSun" w:hAnsi="Times New Roman" w:cs="Times New Roman"/>
                <w:sz w:val="20"/>
                <w:szCs w:val="20"/>
                <w:lang w:val="en-GB" w:eastAsia="zh-CN"/>
              </w:rPr>
              <w:t>enovo</w:t>
            </w:r>
          </w:p>
        </w:tc>
        <w:tc>
          <w:tcPr>
            <w:tcW w:w="8432" w:type="dxa"/>
          </w:tcPr>
          <w:p w14:paraId="58618082"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ource CU can obtain the target cell IDs from target CU or from mobile IAB-node.</w:t>
            </w:r>
          </w:p>
        </w:tc>
      </w:tr>
      <w:tr w:rsidR="00A3488F" w14:paraId="58618087" w14:textId="77777777">
        <w:trPr>
          <w:trHeight w:val="342"/>
        </w:trPr>
        <w:tc>
          <w:tcPr>
            <w:tcW w:w="1378" w:type="dxa"/>
          </w:tcPr>
          <w:p w14:paraId="58618084"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Xiaomi </w:t>
            </w:r>
          </w:p>
        </w:tc>
        <w:tc>
          <w:tcPr>
            <w:tcW w:w="8432" w:type="dxa"/>
          </w:tcPr>
          <w:p w14:paraId="58618085"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Agree with Lenovo. </w:t>
            </w:r>
          </w:p>
          <w:p w14:paraId="58618086"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Again, why don’t we have a clear stage2 procedure then we discuss the details? It would be much easier. </w:t>
            </w:r>
          </w:p>
        </w:tc>
      </w:tr>
      <w:tr w:rsidR="00A3488F" w14:paraId="5861808A" w14:textId="77777777">
        <w:trPr>
          <w:trHeight w:val="342"/>
        </w:trPr>
        <w:tc>
          <w:tcPr>
            <w:tcW w:w="1378" w:type="dxa"/>
          </w:tcPr>
          <w:p w14:paraId="58618088"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432" w:type="dxa"/>
          </w:tcPr>
          <w:p w14:paraId="58618089"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s not optimal to let all the UEs to perform legacy measurement and send a measurement report to the donor CU individually just to obtain the target cell info. It will bring unnecessary </w:t>
            </w:r>
            <w:proofErr w:type="gramStart"/>
            <w:r>
              <w:rPr>
                <w:rFonts w:ascii="Times New Roman" w:eastAsiaTheme="minorEastAsia" w:hAnsi="Times New Roman" w:cs="Times New Roman" w:hint="eastAsia"/>
                <w:sz w:val="20"/>
                <w:szCs w:val="20"/>
                <w:lang w:eastAsia="zh-CN"/>
              </w:rPr>
              <w:t>latency ,</w:t>
            </w:r>
            <w:proofErr w:type="gramEnd"/>
            <w:r>
              <w:rPr>
                <w:rFonts w:ascii="Times New Roman" w:eastAsiaTheme="minorEastAsia" w:hAnsi="Times New Roman" w:cs="Times New Roman" w:hint="eastAsia"/>
                <w:sz w:val="20"/>
                <w:szCs w:val="20"/>
                <w:lang w:eastAsia="zh-CN"/>
              </w:rPr>
              <w:t xml:space="preserve"> UE power consumption and signaling overhead. For option 2 proposed by </w:t>
            </w:r>
            <w:r>
              <w:rPr>
                <w:rFonts w:ascii="Times New Roman" w:eastAsiaTheme="minorEastAsia" w:hAnsi="Times New Roman" w:cs="Times New Roman"/>
                <w:sz w:val="20"/>
                <w:szCs w:val="20"/>
                <w:lang w:val="en-GB" w:eastAsia="zh-CN"/>
              </w:rPr>
              <w:t>Qualcomm</w:t>
            </w:r>
            <w:r>
              <w:rPr>
                <w:rFonts w:ascii="Times New Roman" w:eastAsiaTheme="minorEastAsia" w:hAnsi="Times New Roman" w:cs="Times New Roman" w:hint="eastAsia"/>
                <w:sz w:val="20"/>
                <w:szCs w:val="20"/>
                <w:lang w:eastAsia="zh-CN"/>
              </w:rPr>
              <w:t xml:space="preserve">, it is feasible only when the target CU is ware of the source and target cell mapping info. It should be discussed how could target CU obtain the mapping info as well. </w:t>
            </w:r>
          </w:p>
        </w:tc>
      </w:tr>
      <w:tr w:rsidR="00665DD5" w14:paraId="5861808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61808B"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Samsung</w:t>
            </w:r>
          </w:p>
        </w:tc>
        <w:tc>
          <w:tcPr>
            <w:tcW w:w="8432" w:type="dxa"/>
            <w:tcBorders>
              <w:top w:val="single" w:sz="4" w:space="0" w:color="auto"/>
              <w:left w:val="single" w:sz="4" w:space="0" w:color="auto"/>
              <w:bottom w:val="single" w:sz="4" w:space="0" w:color="auto"/>
              <w:right w:val="single" w:sz="4" w:space="0" w:color="auto"/>
            </w:tcBorders>
          </w:tcPr>
          <w:p w14:paraId="5861808C"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Agree with that source donor CU </w:t>
            </w:r>
            <w:r>
              <w:rPr>
                <w:rFonts w:ascii="Times New Roman" w:eastAsiaTheme="minorEastAsia" w:hAnsi="Times New Roman" w:cs="Times New Roman" w:hint="eastAsia"/>
                <w:sz w:val="20"/>
                <w:szCs w:val="20"/>
                <w:lang w:val="en-GB" w:eastAsia="zh-CN"/>
              </w:rPr>
              <w:t>should</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know</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cell</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ID</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served</w:t>
            </w:r>
            <w:r>
              <w:rPr>
                <w:rFonts w:ascii="Times New Roman" w:eastAsiaTheme="minorEastAsia" w:hAnsi="Times New Roman" w:cs="Times New Roman"/>
                <w:sz w:val="20"/>
                <w:szCs w:val="20"/>
                <w:lang w:val="en-GB" w:eastAsia="zh-CN"/>
              </w:rPr>
              <w:t xml:space="preserve"> </w:t>
            </w:r>
            <w:r w:rsidRPr="00866C36">
              <w:rPr>
                <w:rFonts w:ascii="Times New Roman" w:eastAsiaTheme="minorEastAsia" w:hAnsi="Times New Roman" w:cs="Times New Roman"/>
                <w:sz w:val="20"/>
                <w:szCs w:val="20"/>
                <w:lang w:val="en-GB" w:eastAsia="zh-CN"/>
              </w:rPr>
              <w:t>by the second logical mIAB-DU</w:t>
            </w:r>
            <w:r>
              <w:rPr>
                <w:rFonts w:ascii="Times New Roman" w:eastAsiaTheme="minorEastAsia" w:hAnsi="Times New Roman" w:cs="Times New Roman"/>
                <w:sz w:val="20"/>
                <w:szCs w:val="20"/>
                <w:lang w:val="en-GB" w:eastAsia="zh-CN"/>
              </w:rPr>
              <w:t>, but how to know this should be discussed after confirming baseline of full migration.</w:t>
            </w:r>
          </w:p>
        </w:tc>
      </w:tr>
    </w:tbl>
    <w:p w14:paraId="0182E2EC" w14:textId="77777777" w:rsidR="000135B9" w:rsidRPr="00FD58F2" w:rsidRDefault="000135B9" w:rsidP="000135B9">
      <w:pPr>
        <w:spacing w:before="120" w:after="0"/>
        <w:rPr>
          <w:rFonts w:ascii="Times New Roman" w:hAnsi="Times New Roman" w:cs="Times New Roman"/>
          <w:b/>
          <w:bCs/>
          <w:color w:val="4472C4" w:themeColor="accent1"/>
          <w:sz w:val="20"/>
          <w:szCs w:val="20"/>
          <w:u w:val="single"/>
          <w:lang w:val="en-GB"/>
        </w:rPr>
      </w:pPr>
      <w:r w:rsidRPr="00FD58F2">
        <w:rPr>
          <w:rFonts w:ascii="Times New Roman" w:hAnsi="Times New Roman" w:cs="Times New Roman"/>
          <w:b/>
          <w:bCs/>
          <w:color w:val="4472C4" w:themeColor="accent1"/>
          <w:sz w:val="20"/>
          <w:szCs w:val="20"/>
          <w:u w:val="single"/>
          <w:lang w:val="en-GB"/>
        </w:rPr>
        <w:t>Summary:</w:t>
      </w:r>
    </w:p>
    <w:p w14:paraId="15481AF4" w14:textId="07DC4E1D" w:rsidR="000135B9" w:rsidRPr="00143C38" w:rsidRDefault="003111FD" w:rsidP="000135B9">
      <w:pPr>
        <w:spacing w:before="120" w:after="0"/>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Due to the divergence of opinions, the Moderator proposes the following</w:t>
      </w:r>
      <w:r w:rsidR="000A6AEB">
        <w:rPr>
          <w:rFonts w:ascii="Times New Roman" w:hAnsi="Times New Roman" w:cs="Times New Roman"/>
          <w:color w:val="0070C0"/>
          <w:sz w:val="20"/>
          <w:szCs w:val="20"/>
          <w:lang w:val="en-GB"/>
        </w:rPr>
        <w:t xml:space="preserve"> for now:</w:t>
      </w:r>
      <w:r>
        <w:rPr>
          <w:rFonts w:ascii="Times New Roman" w:hAnsi="Times New Roman" w:cs="Times New Roman"/>
          <w:color w:val="0070C0"/>
          <w:sz w:val="20"/>
          <w:szCs w:val="20"/>
          <w:lang w:val="en-GB"/>
        </w:rPr>
        <w:t xml:space="preserve"> </w:t>
      </w:r>
    </w:p>
    <w:p w14:paraId="5861809D" w14:textId="356175A4" w:rsidR="00A3488F" w:rsidRDefault="000135B9" w:rsidP="000135B9">
      <w:pPr>
        <w:spacing w:before="120" w:after="0"/>
        <w:rPr>
          <w:rFonts w:ascii="Times New Roman" w:hAnsi="Times New Roman" w:cs="Times New Roman"/>
          <w:sz w:val="20"/>
          <w:szCs w:val="22"/>
          <w:lang w:val="en-GB"/>
        </w:rPr>
      </w:pPr>
      <w:r w:rsidRPr="009435B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3-1:</w:t>
      </w:r>
      <w:r w:rsidR="00EC1473">
        <w:rPr>
          <w:rFonts w:ascii="Times New Roman" w:hAnsi="Times New Roman" w:cs="Times New Roman"/>
          <w:b/>
          <w:bCs/>
          <w:color w:val="00B050"/>
          <w:sz w:val="20"/>
          <w:szCs w:val="20"/>
          <w:lang w:val="en-GB"/>
        </w:rPr>
        <w:t xml:space="preserve"> </w:t>
      </w:r>
      <w:r w:rsidR="009270DA">
        <w:rPr>
          <w:rFonts w:ascii="Times New Roman" w:hAnsi="Times New Roman" w:cs="Times New Roman"/>
          <w:b/>
          <w:bCs/>
          <w:color w:val="00B050"/>
          <w:sz w:val="20"/>
          <w:szCs w:val="20"/>
          <w:lang w:val="en-GB"/>
        </w:rPr>
        <w:t>To</w:t>
      </w:r>
      <w:r w:rsidR="00EC1473">
        <w:rPr>
          <w:rFonts w:ascii="Times New Roman" w:hAnsi="Times New Roman" w:cs="Times New Roman"/>
          <w:b/>
          <w:bCs/>
          <w:color w:val="00B050"/>
          <w:sz w:val="20"/>
          <w:szCs w:val="20"/>
          <w:lang w:val="en-GB"/>
        </w:rPr>
        <w:t xml:space="preserve"> hand over the UEs</w:t>
      </w:r>
      <w:r w:rsidR="00E22238">
        <w:rPr>
          <w:rFonts w:ascii="Times New Roman" w:hAnsi="Times New Roman" w:cs="Times New Roman"/>
          <w:b/>
          <w:bCs/>
          <w:color w:val="00B050"/>
          <w:sz w:val="20"/>
          <w:szCs w:val="20"/>
          <w:lang w:val="en-GB"/>
        </w:rPr>
        <w:t xml:space="preserve"> between the logical mIAB-DUs</w:t>
      </w:r>
      <w:r w:rsidR="00EC1473">
        <w:rPr>
          <w:rFonts w:ascii="Times New Roman" w:hAnsi="Times New Roman" w:cs="Times New Roman"/>
          <w:b/>
          <w:bCs/>
          <w:color w:val="00B050"/>
          <w:sz w:val="20"/>
          <w:szCs w:val="20"/>
          <w:lang w:val="en-GB"/>
        </w:rPr>
        <w:t xml:space="preserve">, </w:t>
      </w:r>
      <w:r w:rsidR="00E22238" w:rsidRPr="00E22238">
        <w:rPr>
          <w:rFonts w:ascii="Times New Roman" w:hAnsi="Times New Roman" w:cs="Times New Roman"/>
          <w:b/>
          <w:bCs/>
          <w:color w:val="00B050"/>
          <w:sz w:val="20"/>
          <w:szCs w:val="20"/>
          <w:lang w:val="en-GB"/>
        </w:rPr>
        <w:t>the source donor CU for mIAB-DU migration should be notified about the cell IDs served by the secon</w:t>
      </w:r>
      <w:r w:rsidR="00635A6D">
        <w:rPr>
          <w:rFonts w:ascii="Times New Roman" w:hAnsi="Times New Roman" w:cs="Times New Roman"/>
          <w:b/>
          <w:bCs/>
          <w:color w:val="00B050"/>
          <w:sz w:val="20"/>
          <w:szCs w:val="20"/>
          <w:lang w:val="en-GB"/>
        </w:rPr>
        <w:t>d (target)</w:t>
      </w:r>
      <w:r w:rsidR="00E22238" w:rsidRPr="00E22238">
        <w:rPr>
          <w:rFonts w:ascii="Times New Roman" w:hAnsi="Times New Roman" w:cs="Times New Roman"/>
          <w:b/>
          <w:bCs/>
          <w:color w:val="00B050"/>
          <w:sz w:val="20"/>
          <w:szCs w:val="20"/>
          <w:lang w:val="en-GB"/>
        </w:rPr>
        <w:t xml:space="preserve"> logical mIAB-DU.</w:t>
      </w:r>
    </w:p>
    <w:p w14:paraId="5861809E" w14:textId="77777777" w:rsidR="00A3488F" w:rsidRDefault="00D4377D">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Before it starts handing over the served UEs towards the target donor, the source CU also needs to know that the second logical mIAB-DU established an F1 connection towards the target CU.</w:t>
      </w:r>
    </w:p>
    <w:p w14:paraId="5861809F" w14:textId="77777777" w:rsidR="00A3488F" w:rsidRDefault="00D4377D">
      <w:pPr>
        <w:spacing w:before="120" w:after="0"/>
        <w:rPr>
          <w:rFonts w:ascii="Times New Roman" w:hAnsi="Times New Roman" w:cs="Times New Roman"/>
          <w:b/>
          <w:bCs/>
          <w:sz w:val="20"/>
          <w:szCs w:val="20"/>
        </w:rPr>
      </w:pPr>
      <w:r>
        <w:rPr>
          <w:rFonts w:ascii="Times New Roman" w:hAnsi="Times New Roman" w:cs="Times New Roman"/>
          <w:b/>
          <w:bCs/>
          <w:sz w:val="20"/>
          <w:szCs w:val="20"/>
        </w:rPr>
        <w:t xml:space="preserve">Q3-3: How should the source donor CU for mIAB-DU migration learn that </w:t>
      </w:r>
      <w:r>
        <w:rPr>
          <w:rFonts w:ascii="Times New Roman" w:hAnsi="Times New Roman" w:cs="Times New Roman"/>
          <w:b/>
          <w:bCs/>
          <w:sz w:val="20"/>
          <w:szCs w:val="22"/>
          <w:lang w:val="en-GB"/>
        </w:rPr>
        <w:t>the second logical mIAB-DU has successfully established an F1 connection towards the target CU</w:t>
      </w:r>
      <w:r>
        <w:rPr>
          <w:rFonts w:ascii="Times New Roman" w:hAnsi="Times New Roman" w:cs="Times New Roman"/>
          <w:b/>
          <w:bCs/>
          <w:sz w:val="20"/>
          <w:szCs w:val="20"/>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8432"/>
      </w:tblGrid>
      <w:tr w:rsidR="00A3488F" w14:paraId="586180A2" w14:textId="77777777">
        <w:trPr>
          <w:trHeight w:val="325"/>
        </w:trPr>
        <w:tc>
          <w:tcPr>
            <w:tcW w:w="1378" w:type="dxa"/>
          </w:tcPr>
          <w:p w14:paraId="586180A0"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432" w:type="dxa"/>
          </w:tcPr>
          <w:p w14:paraId="586180A1"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r>
      <w:tr w:rsidR="00A3488F" w14:paraId="586180A5" w14:textId="77777777">
        <w:trPr>
          <w:trHeight w:val="357"/>
        </w:trPr>
        <w:tc>
          <w:tcPr>
            <w:tcW w:w="1378" w:type="dxa"/>
          </w:tcPr>
          <w:p w14:paraId="586180A3"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8432" w:type="dxa"/>
          </w:tcPr>
          <w:p w14:paraId="586180A4" w14:textId="77777777" w:rsidR="00A3488F" w:rsidRDefault="00D4377D">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 xml:space="preserve">Via </w:t>
            </w:r>
            <w:proofErr w:type="spellStart"/>
            <w:r>
              <w:rPr>
                <w:rFonts w:ascii="Times New Roman" w:hAnsi="Times New Roman" w:cs="Times New Roman"/>
                <w:b/>
                <w:bCs/>
                <w:sz w:val="20"/>
                <w:szCs w:val="20"/>
                <w:lang w:val="en-GB"/>
              </w:rPr>
              <w:t>XnAP</w:t>
            </w:r>
            <w:proofErr w:type="spellEnd"/>
            <w:r>
              <w:rPr>
                <w:rFonts w:ascii="Times New Roman" w:hAnsi="Times New Roman" w:cs="Times New Roman"/>
                <w:b/>
                <w:bCs/>
                <w:sz w:val="20"/>
                <w:szCs w:val="20"/>
                <w:lang w:val="en-GB"/>
              </w:rPr>
              <w:t xml:space="preserve">, from the </w:t>
            </w:r>
            <w:r>
              <w:rPr>
                <w:rFonts w:ascii="Times New Roman" w:hAnsi="Times New Roman" w:cs="Times New Roman"/>
                <w:b/>
                <w:bCs/>
                <w:sz w:val="20"/>
                <w:szCs w:val="20"/>
              </w:rPr>
              <w:t xml:space="preserve">target donor CU for mIAB-DU migration. </w:t>
            </w:r>
            <w:r>
              <w:rPr>
                <w:rFonts w:ascii="Times New Roman" w:hAnsi="Times New Roman" w:cs="Times New Roman"/>
                <w:sz w:val="20"/>
                <w:szCs w:val="20"/>
              </w:rPr>
              <w:t>Similar logic as in the previous answer - target CU can indicate to the source CU the NCGIs of cells served by the second logical mIAB-DU. This could serve as an implicit indication that the F1 has been established.</w:t>
            </w:r>
          </w:p>
        </w:tc>
      </w:tr>
      <w:tr w:rsidR="00A3488F" w14:paraId="586180A8" w14:textId="77777777">
        <w:trPr>
          <w:trHeight w:val="342"/>
        </w:trPr>
        <w:tc>
          <w:tcPr>
            <w:tcW w:w="1378" w:type="dxa"/>
          </w:tcPr>
          <w:p w14:paraId="586180A6"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8432" w:type="dxa"/>
          </w:tcPr>
          <w:p w14:paraId="586180A7"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After the target logical IAB-DU establishing F1 connection towards the target donor CU, </w:t>
            </w:r>
            <w:r>
              <w:rPr>
                <w:rFonts w:ascii="Times New Roman" w:eastAsiaTheme="minorEastAsia" w:hAnsi="Times New Roman" w:cs="Times New Roman"/>
                <w:b/>
                <w:sz w:val="20"/>
                <w:szCs w:val="20"/>
                <w:lang w:val="en-GB" w:eastAsia="zh-CN"/>
              </w:rPr>
              <w:t>the mobile IAB node or the target CU can send notification to the source CU</w:t>
            </w:r>
            <w:r>
              <w:rPr>
                <w:rFonts w:ascii="Times New Roman" w:eastAsiaTheme="minorEastAsia" w:hAnsi="Times New Roman" w:cs="Times New Roman"/>
                <w:sz w:val="20"/>
                <w:szCs w:val="20"/>
                <w:lang w:val="en-GB" w:eastAsia="zh-CN"/>
              </w:rPr>
              <w:t xml:space="preserve">, then the source CU can know the target F1 connection is ready.  </w:t>
            </w:r>
          </w:p>
        </w:tc>
      </w:tr>
      <w:tr w:rsidR="00A3488F" w14:paraId="586180AE" w14:textId="77777777">
        <w:trPr>
          <w:trHeight w:val="325"/>
        </w:trPr>
        <w:tc>
          <w:tcPr>
            <w:tcW w:w="1378" w:type="dxa"/>
          </w:tcPr>
          <w:p w14:paraId="586180A9"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8432" w:type="dxa"/>
          </w:tcPr>
          <w:p w14:paraId="586180AA"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Same as Huawei. Via </w:t>
            </w:r>
            <w:proofErr w:type="spellStart"/>
            <w:r>
              <w:rPr>
                <w:rFonts w:ascii="Times New Roman" w:eastAsiaTheme="minorEastAsia" w:hAnsi="Times New Roman" w:cs="Times New Roman"/>
                <w:sz w:val="20"/>
                <w:szCs w:val="20"/>
                <w:lang w:val="en-GB" w:eastAsia="zh-CN"/>
              </w:rPr>
              <w:t>signaling</w:t>
            </w:r>
            <w:proofErr w:type="spellEnd"/>
            <w:r>
              <w:rPr>
                <w:rFonts w:ascii="Times New Roman" w:eastAsiaTheme="minorEastAsia" w:hAnsi="Times New Roman" w:cs="Times New Roman"/>
                <w:sz w:val="20"/>
                <w:szCs w:val="20"/>
                <w:lang w:val="en-GB" w:eastAsia="zh-CN"/>
              </w:rPr>
              <w:t xml:space="preserve"> from the target CU or the IAB-node.</w:t>
            </w:r>
          </w:p>
          <w:p w14:paraId="586180A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Note that CU1 could already start with the UE handover preparation while mIAB-node and CU2 are still establishing F1AP. This implies that CU1 either does not include the target cell ID into the UE HO Request or that CU1 has obtained the target cell ID from the mIAB before. </w:t>
            </w:r>
          </w:p>
          <w:p w14:paraId="586180AC" w14:textId="77777777" w:rsidR="00A3488F" w:rsidRDefault="00D4377D">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Proposal: CU1 may learn from the CU2 or the mIAB-node that the mIAB-node and CU2 have successfully established F1 association.</w:t>
            </w:r>
          </w:p>
          <w:p w14:paraId="586180AD"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80B2" w14:textId="77777777">
        <w:trPr>
          <w:trHeight w:val="342"/>
        </w:trPr>
        <w:tc>
          <w:tcPr>
            <w:tcW w:w="1378" w:type="dxa"/>
          </w:tcPr>
          <w:p w14:paraId="586180AF"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F</w:t>
            </w:r>
            <w:r>
              <w:rPr>
                <w:rFonts w:ascii="Times New Roman" w:eastAsiaTheme="minorEastAsia" w:hAnsi="Times New Roman" w:cs="Times New Roman"/>
                <w:sz w:val="20"/>
                <w:szCs w:val="20"/>
                <w:lang w:val="en-GB" w:eastAsia="zh-CN"/>
              </w:rPr>
              <w:t>ujitsu</w:t>
            </w:r>
          </w:p>
        </w:tc>
        <w:tc>
          <w:tcPr>
            <w:tcW w:w="8432" w:type="dxa"/>
          </w:tcPr>
          <w:p w14:paraId="586180B0"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This can be implicitly indicated by the target donor-CU via </w:t>
            </w:r>
            <w:proofErr w:type="spellStart"/>
            <w:r>
              <w:rPr>
                <w:rFonts w:ascii="Times New Roman" w:eastAsiaTheme="minorEastAsia" w:hAnsi="Times New Roman" w:cs="Times New Roman"/>
                <w:sz w:val="20"/>
                <w:szCs w:val="20"/>
                <w:lang w:val="en-GB" w:eastAsia="zh-CN"/>
              </w:rPr>
              <w:t>XnAP</w:t>
            </w:r>
            <w:proofErr w:type="spellEnd"/>
            <w:r>
              <w:rPr>
                <w:rFonts w:ascii="Times New Roman" w:eastAsiaTheme="minorEastAsia" w:hAnsi="Times New Roman" w:cs="Times New Roman"/>
                <w:sz w:val="20"/>
                <w:szCs w:val="20"/>
                <w:lang w:val="en-GB" w:eastAsia="zh-CN"/>
              </w:rPr>
              <w:t xml:space="preserve">. </w:t>
            </w:r>
          </w:p>
          <w:p w14:paraId="586180B1"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Referring to the previous answer, after receiving the NR-RAN Node Configuration Update message from the target donor-CU the source donor-CU can learn that F1 connection between the target logical mIAB-DU and the target donor-CU has been established.</w:t>
            </w:r>
          </w:p>
        </w:tc>
      </w:tr>
      <w:tr w:rsidR="00A3488F" w14:paraId="586180B5" w14:textId="77777777">
        <w:trPr>
          <w:trHeight w:val="325"/>
        </w:trPr>
        <w:tc>
          <w:tcPr>
            <w:tcW w:w="1378" w:type="dxa"/>
          </w:tcPr>
          <w:p w14:paraId="586180B3" w14:textId="77777777" w:rsidR="00A3488F" w:rsidRDefault="00D4377D">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8432" w:type="dxa"/>
          </w:tcPr>
          <w:p w14:paraId="586180B4"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Huawei/Qualcomm</w:t>
            </w:r>
          </w:p>
        </w:tc>
      </w:tr>
      <w:tr w:rsidR="00A3488F" w14:paraId="586180BD" w14:textId="77777777">
        <w:trPr>
          <w:trHeight w:val="342"/>
        </w:trPr>
        <w:tc>
          <w:tcPr>
            <w:tcW w:w="1378" w:type="dxa"/>
          </w:tcPr>
          <w:p w14:paraId="586180B6"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8432" w:type="dxa"/>
          </w:tcPr>
          <w:p w14:paraId="586180B7" w14:textId="5B724E1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Via F1AP. This is also related to Q3-2. IAB informs CU1 that target F1 is ready, and the cell ID mapping. </w:t>
            </w:r>
          </w:p>
          <w:p w14:paraId="586180B8"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An example call flow is shown below.</w:t>
            </w:r>
          </w:p>
          <w:p w14:paraId="586180B9" w14:textId="77777777" w:rsidR="00A3488F" w:rsidRDefault="00D4377D">
            <w:pPr>
              <w:spacing w:before="120" w:after="0"/>
              <w:rPr>
                <w:rFonts w:ascii="Times New Roman" w:eastAsiaTheme="minorEastAsia" w:hAnsi="Times New Roman" w:cs="Times New Roman"/>
                <w:sz w:val="20"/>
                <w:szCs w:val="20"/>
                <w:lang w:val="en-GB" w:eastAsia="zh-CN"/>
              </w:rPr>
            </w:pPr>
            <w:r>
              <w:object w:dxaOrig="8294" w:dyaOrig="3163" w14:anchorId="58618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158.1pt" o:ole="">
                  <v:imagedata r:id="rId18" o:title=""/>
                </v:shape>
                <o:OLEObject Type="Embed" ProgID="Visio.Drawing.15" ShapeID="_x0000_i1025" DrawAspect="Content" ObjectID="_1727171751" r:id="rId19"/>
              </w:object>
            </w:r>
          </w:p>
          <w:p w14:paraId="586180BA" w14:textId="77777777" w:rsidR="00A3488F" w:rsidRDefault="00A3488F">
            <w:pPr>
              <w:spacing w:before="120" w:after="0"/>
              <w:rPr>
                <w:rFonts w:ascii="Times New Roman" w:eastAsiaTheme="minorEastAsia" w:hAnsi="Times New Roman" w:cs="Times New Roman"/>
                <w:sz w:val="20"/>
                <w:szCs w:val="20"/>
                <w:lang w:val="en-GB" w:eastAsia="zh-CN"/>
              </w:rPr>
            </w:pPr>
          </w:p>
          <w:p w14:paraId="586180B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with the QC proposal </w:t>
            </w:r>
          </w:p>
          <w:p w14:paraId="586180BC"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80C0" w14:textId="77777777">
        <w:trPr>
          <w:trHeight w:val="342"/>
        </w:trPr>
        <w:tc>
          <w:tcPr>
            <w:tcW w:w="1378" w:type="dxa"/>
          </w:tcPr>
          <w:p w14:paraId="586180BE"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8432" w:type="dxa"/>
          </w:tcPr>
          <w:p w14:paraId="586180BF"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Share the same view with Huawei and Qualcomm. </w:t>
            </w: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t can be informed by target IAB-donor or mobile IAB-node.</w:t>
            </w:r>
          </w:p>
        </w:tc>
      </w:tr>
      <w:tr w:rsidR="00A3488F" w14:paraId="586180C3" w14:textId="77777777">
        <w:trPr>
          <w:trHeight w:val="342"/>
        </w:trPr>
        <w:tc>
          <w:tcPr>
            <w:tcW w:w="1378" w:type="dxa"/>
          </w:tcPr>
          <w:p w14:paraId="586180C1"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w:t>
            </w:r>
          </w:p>
        </w:tc>
        <w:tc>
          <w:tcPr>
            <w:tcW w:w="8432" w:type="dxa"/>
          </w:tcPr>
          <w:p w14:paraId="586180C2"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Share the view with above </w:t>
            </w:r>
            <w:proofErr w:type="gramStart"/>
            <w:r>
              <w:rPr>
                <w:rFonts w:ascii="Times New Roman" w:eastAsiaTheme="minorEastAsia" w:hAnsi="Times New Roman" w:cs="Times New Roman"/>
                <w:sz w:val="20"/>
                <w:szCs w:val="20"/>
                <w:lang w:eastAsia="zh-CN"/>
              </w:rPr>
              <w:t>i.e.</w:t>
            </w:r>
            <w:proofErr w:type="gramEnd"/>
            <w:r>
              <w:rPr>
                <w:rFonts w:ascii="Times New Roman" w:eastAsiaTheme="minorEastAsia" w:hAnsi="Times New Roman" w:cs="Times New Roman"/>
                <w:sz w:val="20"/>
                <w:szCs w:val="20"/>
                <w:lang w:eastAsia="zh-CN"/>
              </w:rPr>
              <w:t xml:space="preserve"> it can be</w:t>
            </w:r>
            <w:r>
              <w:rPr>
                <w:rFonts w:ascii="Times New Roman" w:eastAsiaTheme="minorEastAsia" w:hAnsi="Times New Roman" w:cs="Times New Roman"/>
                <w:sz w:val="20"/>
                <w:szCs w:val="20"/>
                <w:lang w:val="en-GB" w:eastAsia="zh-CN"/>
              </w:rPr>
              <w:t xml:space="preserve"> informed by target IAB-donor or mobile IAB-node.</w:t>
            </w:r>
          </w:p>
        </w:tc>
      </w:tr>
      <w:tr w:rsidR="00A3488F" w14:paraId="586180C6" w14:textId="77777777">
        <w:trPr>
          <w:trHeight w:val="342"/>
        </w:trPr>
        <w:tc>
          <w:tcPr>
            <w:tcW w:w="1378" w:type="dxa"/>
          </w:tcPr>
          <w:p w14:paraId="586180C4"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432" w:type="dxa"/>
          </w:tcPr>
          <w:p w14:paraId="586180C5"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The F1-terminating donor could know that from target donor CU of IAB-MT or mobile IAB node. </w:t>
            </w:r>
          </w:p>
        </w:tc>
      </w:tr>
      <w:tr w:rsidR="00665DD5" w14:paraId="586180C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6180C7"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Samsung</w:t>
            </w:r>
          </w:p>
        </w:tc>
        <w:tc>
          <w:tcPr>
            <w:tcW w:w="8432" w:type="dxa"/>
            <w:tcBorders>
              <w:top w:val="single" w:sz="4" w:space="0" w:color="auto"/>
              <w:left w:val="single" w:sz="4" w:space="0" w:color="auto"/>
              <w:bottom w:val="single" w:sz="4" w:space="0" w:color="auto"/>
              <w:right w:val="single" w:sz="4" w:space="0" w:color="auto"/>
            </w:tcBorders>
          </w:tcPr>
          <w:p w14:paraId="586180C8" w14:textId="77777777" w:rsidR="00665DD5" w:rsidRDefault="00665DD5" w:rsidP="00665DD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There are two ways: one is that target donor CU for</w:t>
            </w:r>
            <w:r w:rsidRPr="004852D6">
              <w:rPr>
                <w:rFonts w:ascii="Times New Roman" w:eastAsiaTheme="minorEastAsia" w:hAnsi="Times New Roman" w:cs="Times New Roman"/>
                <w:sz w:val="20"/>
                <w:szCs w:val="20"/>
                <w:lang w:val="en-GB" w:eastAsia="zh-CN"/>
              </w:rPr>
              <w:t xml:space="preserve"> mIAB-DU migration</w:t>
            </w:r>
            <w:r>
              <w:rPr>
                <w:rFonts w:ascii="Times New Roman" w:eastAsiaTheme="minorEastAsia" w:hAnsi="Times New Roman" w:cs="Times New Roman"/>
                <w:sz w:val="20"/>
                <w:szCs w:val="20"/>
                <w:lang w:val="en-GB" w:eastAsia="zh-CN"/>
              </w:rPr>
              <w:t xml:space="preserve"> informs source </w:t>
            </w:r>
            <w:r w:rsidRPr="004852D6">
              <w:rPr>
                <w:rFonts w:ascii="Times New Roman" w:eastAsiaTheme="minorEastAsia" w:hAnsi="Times New Roman" w:cs="Times New Roman"/>
                <w:sz w:val="20"/>
                <w:szCs w:val="20"/>
                <w:lang w:val="en-GB" w:eastAsia="zh-CN"/>
              </w:rPr>
              <w:t>donor CU for mIAB-DU migration</w:t>
            </w:r>
            <w:r>
              <w:rPr>
                <w:rFonts w:ascii="Times New Roman" w:eastAsiaTheme="minorEastAsia" w:hAnsi="Times New Roman" w:cs="Times New Roman"/>
                <w:sz w:val="20"/>
                <w:szCs w:val="20"/>
                <w:lang w:val="en-GB" w:eastAsia="zh-CN"/>
              </w:rPr>
              <w:t xml:space="preserve">. The other is that mobile IAB </w:t>
            </w:r>
            <w:r>
              <w:rPr>
                <w:rFonts w:ascii="Times New Roman" w:eastAsiaTheme="minorEastAsia" w:hAnsi="Times New Roman" w:cs="Times New Roman" w:hint="eastAsia"/>
                <w:sz w:val="20"/>
                <w:szCs w:val="20"/>
                <w:lang w:val="en-GB" w:eastAsia="zh-CN"/>
              </w:rPr>
              <w:t>node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informs</w:t>
            </w:r>
            <w:r>
              <w:rPr>
                <w:rFonts w:ascii="Times New Roman" w:eastAsiaTheme="minorEastAsia" w:hAnsi="Times New Roman" w:cs="Times New Roman"/>
                <w:sz w:val="20"/>
                <w:szCs w:val="20"/>
                <w:lang w:val="en-GB" w:eastAsia="zh-CN"/>
              </w:rPr>
              <w:t xml:space="preserve"> source </w:t>
            </w:r>
            <w:r w:rsidRPr="004852D6">
              <w:rPr>
                <w:rFonts w:ascii="Times New Roman" w:eastAsiaTheme="minorEastAsia" w:hAnsi="Times New Roman" w:cs="Times New Roman"/>
                <w:sz w:val="20"/>
                <w:szCs w:val="20"/>
                <w:lang w:val="en-GB" w:eastAsia="zh-CN"/>
              </w:rPr>
              <w:t>donor CU for mIAB-DU migration</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 However, we suggest </w:t>
            </w:r>
            <w:proofErr w:type="gramStart"/>
            <w:r>
              <w:rPr>
                <w:rFonts w:ascii="Times New Roman" w:eastAsiaTheme="minorEastAsia" w:hAnsi="Times New Roman" w:cs="Times New Roman"/>
                <w:sz w:val="20"/>
                <w:szCs w:val="20"/>
                <w:lang w:val="en-GB" w:eastAsia="zh-CN"/>
              </w:rPr>
              <w:t>to confirm</w:t>
            </w:r>
            <w:proofErr w:type="gramEnd"/>
            <w:r>
              <w:rPr>
                <w:rFonts w:ascii="Times New Roman" w:eastAsiaTheme="minorEastAsia" w:hAnsi="Times New Roman" w:cs="Times New Roman"/>
                <w:sz w:val="20"/>
                <w:szCs w:val="20"/>
                <w:lang w:val="en-GB" w:eastAsia="zh-CN"/>
              </w:rPr>
              <w:t xml:space="preserve"> baseline of full migration first.</w:t>
            </w:r>
          </w:p>
          <w:p w14:paraId="586180C9" w14:textId="77777777" w:rsidR="00665DD5" w:rsidRDefault="00665DD5" w:rsidP="00665DD5">
            <w:pPr>
              <w:spacing w:before="120" w:after="0"/>
              <w:rPr>
                <w:rFonts w:ascii="Times New Roman" w:eastAsiaTheme="minorEastAsia" w:hAnsi="Times New Roman" w:cs="Times New Roman"/>
                <w:sz w:val="20"/>
                <w:szCs w:val="20"/>
                <w:lang w:eastAsia="zh-CN"/>
              </w:rPr>
            </w:pPr>
          </w:p>
        </w:tc>
      </w:tr>
    </w:tbl>
    <w:p w14:paraId="33799325" w14:textId="77777777" w:rsidR="00017718" w:rsidRPr="00FD58F2" w:rsidRDefault="00017718" w:rsidP="00017718">
      <w:pPr>
        <w:spacing w:before="120" w:after="0"/>
        <w:rPr>
          <w:rFonts w:ascii="Times New Roman" w:hAnsi="Times New Roman" w:cs="Times New Roman"/>
          <w:b/>
          <w:bCs/>
          <w:color w:val="4472C4" w:themeColor="accent1"/>
          <w:sz w:val="20"/>
          <w:szCs w:val="20"/>
          <w:u w:val="single"/>
          <w:lang w:val="en-GB"/>
        </w:rPr>
      </w:pPr>
      <w:r w:rsidRPr="00FD58F2">
        <w:rPr>
          <w:rFonts w:ascii="Times New Roman" w:hAnsi="Times New Roman" w:cs="Times New Roman"/>
          <w:b/>
          <w:bCs/>
          <w:color w:val="4472C4" w:themeColor="accent1"/>
          <w:sz w:val="20"/>
          <w:szCs w:val="20"/>
          <w:u w:val="single"/>
          <w:lang w:val="en-GB"/>
        </w:rPr>
        <w:t>Summary:</w:t>
      </w:r>
    </w:p>
    <w:p w14:paraId="455807A9" w14:textId="77777777" w:rsidR="000A6AEB" w:rsidRPr="00143C38" w:rsidRDefault="000A6AEB" w:rsidP="000A6AEB">
      <w:pPr>
        <w:spacing w:before="120" w:after="0"/>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 xml:space="preserve">Due to the divergence of opinions, the Moderator proposes the following for now: </w:t>
      </w:r>
    </w:p>
    <w:p w14:paraId="056C3013" w14:textId="00A2B739" w:rsidR="00017718" w:rsidRDefault="00017718" w:rsidP="00017718">
      <w:pPr>
        <w:spacing w:before="120" w:after="0"/>
        <w:rPr>
          <w:rFonts w:ascii="Times New Roman" w:hAnsi="Times New Roman" w:cs="Times New Roman"/>
          <w:sz w:val="20"/>
          <w:szCs w:val="22"/>
          <w:lang w:val="en-GB"/>
        </w:rPr>
      </w:pPr>
      <w:r w:rsidRPr="009435B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3-</w:t>
      </w:r>
      <w:r>
        <w:rPr>
          <w:rFonts w:ascii="Times New Roman" w:hAnsi="Times New Roman" w:cs="Times New Roman"/>
          <w:b/>
          <w:bCs/>
          <w:color w:val="00B050"/>
          <w:sz w:val="20"/>
          <w:szCs w:val="20"/>
          <w:lang w:val="en-GB"/>
        </w:rPr>
        <w:t>2</w:t>
      </w:r>
      <w:r>
        <w:rPr>
          <w:rFonts w:ascii="Times New Roman" w:hAnsi="Times New Roman" w:cs="Times New Roman"/>
          <w:b/>
          <w:bCs/>
          <w:color w:val="00B050"/>
          <w:sz w:val="20"/>
          <w:szCs w:val="20"/>
          <w:lang w:val="en-GB"/>
        </w:rPr>
        <w:t xml:space="preserve">: </w:t>
      </w:r>
      <w:r w:rsidR="000A6AEB">
        <w:rPr>
          <w:rFonts w:ascii="Times New Roman" w:hAnsi="Times New Roman" w:cs="Times New Roman"/>
          <w:b/>
          <w:bCs/>
          <w:color w:val="00B050"/>
          <w:sz w:val="20"/>
          <w:szCs w:val="20"/>
          <w:lang w:val="en-GB"/>
        </w:rPr>
        <w:t>T</w:t>
      </w:r>
      <w:r w:rsidR="00EB6C30" w:rsidRPr="00EB6C30">
        <w:rPr>
          <w:rFonts w:ascii="Times New Roman" w:hAnsi="Times New Roman" w:cs="Times New Roman"/>
          <w:b/>
          <w:bCs/>
          <w:color w:val="00B050"/>
          <w:sz w:val="20"/>
          <w:szCs w:val="20"/>
          <w:lang w:val="en-GB"/>
        </w:rPr>
        <w:t>he source donor CU for mIAB-DU migration</w:t>
      </w:r>
      <w:r w:rsidR="000A6AEB">
        <w:rPr>
          <w:rFonts w:ascii="Times New Roman" w:hAnsi="Times New Roman" w:cs="Times New Roman"/>
          <w:b/>
          <w:bCs/>
          <w:color w:val="00B050"/>
          <w:sz w:val="20"/>
          <w:szCs w:val="20"/>
          <w:lang w:val="en-GB"/>
        </w:rPr>
        <w:t xml:space="preserve"> should be implicitly or explicitly informed</w:t>
      </w:r>
      <w:r w:rsidR="00EB6C30" w:rsidRPr="00EB6C30">
        <w:rPr>
          <w:rFonts w:ascii="Times New Roman" w:hAnsi="Times New Roman" w:cs="Times New Roman"/>
          <w:b/>
          <w:bCs/>
          <w:color w:val="00B050"/>
          <w:sz w:val="20"/>
          <w:szCs w:val="20"/>
          <w:lang w:val="en-GB"/>
        </w:rPr>
        <w:t xml:space="preserve"> that the second logical mIAB-DU has successfully established an F1 connection towards the target </w:t>
      </w:r>
      <w:r w:rsidR="000A6AEB">
        <w:rPr>
          <w:rFonts w:ascii="Times New Roman" w:hAnsi="Times New Roman" w:cs="Times New Roman"/>
          <w:b/>
          <w:bCs/>
          <w:color w:val="00B050"/>
          <w:sz w:val="20"/>
          <w:szCs w:val="20"/>
          <w:lang w:val="en-GB"/>
        </w:rPr>
        <w:t>CU. Details are FFS.</w:t>
      </w:r>
      <w:r>
        <w:rPr>
          <w:rFonts w:ascii="Times New Roman" w:hAnsi="Times New Roman" w:cs="Times New Roman"/>
          <w:b/>
          <w:bCs/>
          <w:color w:val="00B050"/>
          <w:sz w:val="20"/>
          <w:szCs w:val="20"/>
          <w:lang w:val="en-GB"/>
        </w:rPr>
        <w:t xml:space="preserve"> </w:t>
      </w:r>
    </w:p>
    <w:p w14:paraId="586180DA" w14:textId="77777777" w:rsidR="00A3488F" w:rsidRDefault="00A3488F">
      <w:pPr>
        <w:spacing w:before="120" w:after="0"/>
        <w:rPr>
          <w:rFonts w:ascii="Times New Roman" w:hAnsi="Times New Roman" w:cs="Times New Roman"/>
          <w:b/>
          <w:bCs/>
          <w:sz w:val="20"/>
          <w:szCs w:val="20"/>
        </w:rPr>
      </w:pPr>
    </w:p>
    <w:p w14:paraId="586180DB" w14:textId="77777777" w:rsidR="00A3488F" w:rsidRDefault="00D4377D">
      <w:pPr>
        <w:pStyle w:val="Heading2"/>
        <w:rPr>
          <w:rFonts w:ascii="Arial" w:hAnsi="Arial" w:cs="Arial"/>
        </w:rPr>
      </w:pPr>
      <w:r>
        <w:rPr>
          <w:rFonts w:ascii="Arial" w:hAnsi="Arial" w:cs="Arial"/>
        </w:rPr>
        <w:lastRenderedPageBreak/>
        <w:t>mIAB-DU inter-donor migration</w:t>
      </w:r>
    </w:p>
    <w:p w14:paraId="586180DC" w14:textId="77777777" w:rsidR="00A3488F" w:rsidRDefault="00D4377D">
      <w:pPr>
        <w:spacing w:before="120" w:after="0"/>
        <w:rPr>
          <w:rFonts w:ascii="Times New Roman" w:hAnsi="Times New Roman" w:cs="Times New Roman"/>
          <w:b/>
          <w:bCs/>
          <w:color w:val="00B050"/>
          <w:sz w:val="20"/>
          <w:szCs w:val="22"/>
          <w:lang w:val="en-GB"/>
        </w:rPr>
      </w:pPr>
      <w:r>
        <w:rPr>
          <w:rFonts w:ascii="Times New Roman" w:hAnsi="Times New Roman" w:cs="Times New Roman"/>
          <w:sz w:val="20"/>
          <w:szCs w:val="22"/>
          <w:lang w:val="en-GB"/>
        </w:rPr>
        <w:t>Whether an mIAB-DU can execute inter-donor migration, while the co-located mIAB-MT stays connected to the same donor CU before and after the mIAB-DU migration, is discussed in papers [Eri5345], [QC5359], [Xmi5752], [Len5488], [Sam5714] and [Hua5681].</w:t>
      </w:r>
    </w:p>
    <w:p w14:paraId="586180DD" w14:textId="77777777" w:rsidR="00A3488F" w:rsidRDefault="00D4377D">
      <w:pPr>
        <w:spacing w:before="120" w:after="0"/>
        <w:rPr>
          <w:rFonts w:ascii="Times New Roman" w:hAnsi="Times New Roman" w:cs="Times New Roman"/>
          <w:b/>
          <w:bCs/>
          <w:sz w:val="20"/>
          <w:szCs w:val="20"/>
        </w:rPr>
      </w:pPr>
      <w:r>
        <w:rPr>
          <w:rFonts w:ascii="Times New Roman" w:hAnsi="Times New Roman" w:cs="Times New Roman"/>
          <w:b/>
          <w:bCs/>
          <w:sz w:val="20"/>
          <w:szCs w:val="20"/>
        </w:rPr>
        <w:t xml:space="preserve">Q4: Can an mIAB-DU execute inter-donor migration </w:t>
      </w:r>
      <w:r>
        <w:rPr>
          <w:rFonts w:ascii="Times New Roman" w:hAnsi="Times New Roman" w:cs="Times New Roman"/>
          <w:b/>
          <w:bCs/>
          <w:sz w:val="20"/>
          <w:szCs w:val="22"/>
          <w:lang w:val="en-GB"/>
        </w:rPr>
        <w:t>while the co-located mIAB-MT stays connected to the same donor CU before and after the mIAB-DU migration</w:t>
      </w:r>
      <w:r>
        <w:rPr>
          <w:rFonts w:ascii="Times New Roman" w:hAnsi="Times New Roman" w:cs="Times New Roman"/>
          <w:b/>
          <w:bCs/>
          <w:sz w:val="20"/>
          <w:szCs w:val="20"/>
        </w:rPr>
        <w: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A3488F" w14:paraId="586180E1" w14:textId="77777777">
        <w:trPr>
          <w:trHeight w:val="325"/>
        </w:trPr>
        <w:tc>
          <w:tcPr>
            <w:tcW w:w="1378" w:type="dxa"/>
          </w:tcPr>
          <w:p w14:paraId="586180DE"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86180DF"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86180E0"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3488F" w14:paraId="586180E9" w14:textId="77777777">
        <w:trPr>
          <w:trHeight w:val="357"/>
        </w:trPr>
        <w:tc>
          <w:tcPr>
            <w:tcW w:w="1378" w:type="dxa"/>
          </w:tcPr>
          <w:p w14:paraId="586180E2"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586180E3" w14:textId="77777777" w:rsidR="00A3488F" w:rsidRDefault="00D4377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586180E4" w14:textId="77777777" w:rsidR="00A3488F" w:rsidRDefault="00D4377D">
            <w:pPr>
              <w:pStyle w:val="ListParagraph"/>
              <w:numPr>
                <w:ilvl w:val="0"/>
                <w:numId w:val="11"/>
              </w:numPr>
              <w:spacing w:before="120" w:after="0"/>
              <w:ind w:left="311"/>
              <w:jc w:val="left"/>
              <w:rPr>
                <w:rFonts w:ascii="Times New Roman" w:hAnsi="Times New Roman" w:cs="Times New Roman"/>
              </w:rPr>
            </w:pPr>
            <w:r>
              <w:rPr>
                <w:rFonts w:ascii="Times New Roman" w:hAnsi="Times New Roman" w:cs="Times New Roman"/>
              </w:rPr>
              <w:t xml:space="preserve">If mIAB-DU migration </w:t>
            </w:r>
            <w:r>
              <w:rPr>
                <w:rFonts w:ascii="Times New Roman" w:hAnsi="Times New Roman" w:cs="Times New Roman"/>
                <w:u w:val="single"/>
              </w:rPr>
              <w:t>cannot</w:t>
            </w:r>
            <w:r>
              <w:rPr>
                <w:rFonts w:ascii="Times New Roman" w:hAnsi="Times New Roman" w:cs="Times New Roman"/>
              </w:rPr>
              <w:t xml:space="preserve"> be executed without an mIAB-MT HO, this would mean that the </w:t>
            </w:r>
            <w:r>
              <w:rPr>
                <w:rFonts w:ascii="Times New Roman" w:hAnsi="Times New Roman" w:cs="Times New Roman"/>
                <w:b/>
                <w:bCs/>
              </w:rPr>
              <w:t>CU serving the mIAB-MT decides about the migration of the F1 connection of the mIAB-DU</w:t>
            </w:r>
            <w:r>
              <w:rPr>
                <w:rFonts w:ascii="Times New Roman" w:hAnsi="Times New Roman" w:cs="Times New Roman"/>
              </w:rPr>
              <w:t xml:space="preserve">. </w:t>
            </w:r>
            <w:r>
              <w:rPr>
                <w:rFonts w:ascii="Times New Roman" w:hAnsi="Times New Roman" w:cs="Times New Roman"/>
                <w:b/>
                <w:bCs/>
                <w:u w:val="single"/>
              </w:rPr>
              <w:t>This does not make any sense at all</w:t>
            </w:r>
            <w:r>
              <w:rPr>
                <w:rFonts w:ascii="Times New Roman" w:hAnsi="Times New Roman" w:cs="Times New Roman"/>
              </w:rPr>
              <w:t>. The migration of the F1 connection shall exclusively be in the hands of the F1-terminating CU.</w:t>
            </w:r>
          </w:p>
          <w:p w14:paraId="586180E5" w14:textId="77777777" w:rsidR="00A3488F" w:rsidRDefault="00D4377D">
            <w:pPr>
              <w:pStyle w:val="ListParagraph"/>
              <w:numPr>
                <w:ilvl w:val="0"/>
                <w:numId w:val="11"/>
              </w:numPr>
              <w:spacing w:before="120" w:after="0"/>
              <w:ind w:left="311"/>
              <w:jc w:val="left"/>
              <w:rPr>
                <w:rFonts w:ascii="Times New Roman" w:hAnsi="Times New Roman" w:cs="Times New Roman"/>
              </w:rPr>
            </w:pPr>
            <w:r>
              <w:rPr>
                <w:rFonts w:ascii="Times New Roman" w:hAnsi="Times New Roman" w:cs="Times New Roman"/>
              </w:rPr>
              <w:t>Moreover, it may hold that the F1-terminating CU has a larger coverage than the RRC-terminating CU.</w:t>
            </w:r>
          </w:p>
          <w:p w14:paraId="586180E6" w14:textId="77777777" w:rsidR="00A3488F" w:rsidRDefault="00D4377D">
            <w:pPr>
              <w:pStyle w:val="ListParagraph"/>
              <w:numPr>
                <w:ilvl w:val="0"/>
                <w:numId w:val="11"/>
              </w:numPr>
              <w:spacing w:before="120" w:after="0"/>
              <w:ind w:left="311"/>
              <w:jc w:val="left"/>
              <w:rPr>
                <w:rFonts w:ascii="Times New Roman" w:hAnsi="Times New Roman" w:cs="Times New Roman"/>
              </w:rPr>
            </w:pPr>
            <w:r>
              <w:rPr>
                <w:rFonts w:ascii="Times New Roman" w:hAnsi="Times New Roman" w:cs="Times New Roman"/>
              </w:rPr>
              <w:t xml:space="preserve">We do not understand </w:t>
            </w:r>
            <w:r>
              <w:rPr>
                <w:rFonts w:ascii="Times New Roman" w:hAnsi="Times New Roman" w:cs="Times New Roman"/>
                <w:b/>
                <w:bCs/>
              </w:rPr>
              <w:t>how the decoupling introduces a new architecture</w:t>
            </w:r>
            <w:r>
              <w:rPr>
                <w:rFonts w:ascii="Times New Roman" w:hAnsi="Times New Roman" w:cs="Times New Roman"/>
              </w:rPr>
              <w:t>. Does Rel-17 partial migration introduce a new architecture? Of course not. Remember that we already agreed that the mIAB-MT and mIAB-DU can be served by different donors. Does that introduce a new architecture? No. The term “anchor CU” is just a term denoting the F1-terminating CU.</w:t>
            </w:r>
          </w:p>
          <w:p w14:paraId="586180E7" w14:textId="77777777" w:rsidR="00A3488F" w:rsidRDefault="00D4377D">
            <w:pPr>
              <w:pStyle w:val="ListParagraph"/>
              <w:numPr>
                <w:ilvl w:val="0"/>
                <w:numId w:val="11"/>
              </w:numPr>
              <w:spacing w:before="120" w:after="0"/>
              <w:ind w:left="311"/>
              <w:jc w:val="left"/>
              <w:rPr>
                <w:rFonts w:ascii="Times New Roman" w:hAnsi="Times New Roman" w:cs="Times New Roman"/>
              </w:rPr>
            </w:pPr>
            <w:r>
              <w:rPr>
                <w:rFonts w:ascii="Times New Roman" w:hAnsi="Times New Roman" w:cs="Times New Roman"/>
              </w:rPr>
              <w:t xml:space="preserve">If we tie the mIAB-DU migration to the mIAB-MT HO, the </w:t>
            </w:r>
            <w:r>
              <w:rPr>
                <w:rFonts w:ascii="Times New Roman" w:hAnsi="Times New Roman" w:cs="Times New Roman"/>
                <w:b/>
                <w:bCs/>
              </w:rPr>
              <w:t>mIAB-DU migration may fail because a new mIAB-MT HO may occur before mIAB-DU migration is over</w:t>
            </w:r>
            <w:r>
              <w:rPr>
                <w:rFonts w:ascii="Times New Roman" w:hAnsi="Times New Roman" w:cs="Times New Roman"/>
              </w:rPr>
              <w:t>. This is quite likely to happen in areas covered by small cells.</w:t>
            </w:r>
          </w:p>
          <w:p w14:paraId="586180E8" w14:textId="77777777" w:rsidR="00A3488F" w:rsidRDefault="00D4377D">
            <w:pPr>
              <w:pStyle w:val="ListParagraph"/>
              <w:numPr>
                <w:ilvl w:val="0"/>
                <w:numId w:val="11"/>
              </w:numPr>
              <w:spacing w:before="120" w:after="0"/>
              <w:ind w:left="311"/>
              <w:jc w:val="left"/>
              <w:rPr>
                <w:rFonts w:ascii="Times New Roman" w:hAnsi="Times New Roman" w:cs="Times New Roman"/>
              </w:rPr>
            </w:pPr>
            <w:r>
              <w:rPr>
                <w:rFonts w:ascii="Times New Roman" w:hAnsi="Times New Roman" w:cs="Times New Roman"/>
              </w:rPr>
              <w:t xml:space="preserve">Conversely, decoupling mIAB-DU migration from mIAB-MT HO enables the </w:t>
            </w:r>
            <w:r>
              <w:rPr>
                <w:rFonts w:ascii="Times New Roman" w:hAnsi="Times New Roman" w:cs="Times New Roman"/>
                <w:b/>
                <w:bCs/>
              </w:rPr>
              <w:t>decoupling of their respective failures</w:t>
            </w:r>
            <w:r>
              <w:rPr>
                <w:rFonts w:ascii="Times New Roman" w:hAnsi="Times New Roman" w:cs="Times New Roman"/>
              </w:rPr>
              <w:t xml:space="preserve"> and </w:t>
            </w:r>
            <w:r>
              <w:rPr>
                <w:rFonts w:ascii="Times New Roman" w:hAnsi="Times New Roman" w:cs="Times New Roman"/>
                <w:b/>
                <w:bCs/>
              </w:rPr>
              <w:t>enables gradual HO of the served UEs</w:t>
            </w:r>
            <w:r>
              <w:rPr>
                <w:rFonts w:ascii="Times New Roman" w:hAnsi="Times New Roman" w:cs="Times New Roman"/>
              </w:rPr>
              <w:t>.</w:t>
            </w:r>
          </w:p>
        </w:tc>
      </w:tr>
      <w:tr w:rsidR="00A3488F" w14:paraId="586180EF" w14:textId="77777777">
        <w:trPr>
          <w:trHeight w:val="342"/>
        </w:trPr>
        <w:tc>
          <w:tcPr>
            <w:tcW w:w="1378" w:type="dxa"/>
          </w:tcPr>
          <w:p w14:paraId="586180EA"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586180E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but with comments</w:t>
            </w:r>
          </w:p>
        </w:tc>
        <w:tc>
          <w:tcPr>
            <w:tcW w:w="7200" w:type="dxa"/>
          </w:tcPr>
          <w:p w14:paraId="586180EC"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IAB node migration is usually considered when the radio condition between the mobile IAB-MT and its source parent DU becomes poor because of moving, thus the mobile IAB-MT needs to perform HO, and the DU migration is performed because the MT has switched or will switch (depends on the sequence we used for supporting full migration).</w:t>
            </w:r>
          </w:p>
          <w:p w14:paraId="586180ED"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Considering that the sequence of full migration can be IAB-DU migration first or IAB-MT migration first, but it is hard to limit the time interval between the IAB-MT HO and the IAB-DU migration, in this sense, if IAB-DU migration is performed first, the IAB-MT can stay connected to same donor for some time. </w:t>
            </w:r>
          </w:p>
          <w:p w14:paraId="586180EE"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In a word, our view is: </w:t>
            </w:r>
            <w:r>
              <w:rPr>
                <w:rFonts w:ascii="Times New Roman" w:hAnsi="Times New Roman" w:cs="Times New Roman"/>
                <w:b/>
                <w:bCs/>
                <w:sz w:val="20"/>
                <w:szCs w:val="20"/>
              </w:rPr>
              <w:t xml:space="preserve">an mIAB-DU execute inter-donor migration </w:t>
            </w:r>
            <w:r>
              <w:rPr>
                <w:rFonts w:ascii="Times New Roman" w:hAnsi="Times New Roman" w:cs="Times New Roman"/>
                <w:b/>
                <w:bCs/>
                <w:sz w:val="20"/>
                <w:szCs w:val="22"/>
                <w:lang w:val="en-GB"/>
              </w:rPr>
              <w:t xml:space="preserve">while the co-located mIAB-MT </w:t>
            </w:r>
            <w:r>
              <w:rPr>
                <w:rFonts w:ascii="Times New Roman" w:hAnsi="Times New Roman" w:cs="Times New Roman"/>
                <w:b/>
                <w:bCs/>
                <w:sz w:val="20"/>
                <w:szCs w:val="22"/>
                <w:u w:val="single"/>
                <w:lang w:val="en-GB"/>
              </w:rPr>
              <w:t>may</w:t>
            </w:r>
            <w:r>
              <w:rPr>
                <w:rFonts w:ascii="Times New Roman" w:hAnsi="Times New Roman" w:cs="Times New Roman"/>
                <w:b/>
                <w:bCs/>
                <w:sz w:val="20"/>
                <w:szCs w:val="22"/>
                <w:lang w:val="en-GB"/>
              </w:rPr>
              <w:t xml:space="preserve"> stay connected to the same donor CU </w:t>
            </w:r>
            <w:r>
              <w:rPr>
                <w:rFonts w:ascii="Times New Roman" w:hAnsi="Times New Roman" w:cs="Times New Roman"/>
                <w:b/>
                <w:bCs/>
                <w:sz w:val="20"/>
                <w:szCs w:val="22"/>
                <w:u w:val="single"/>
                <w:lang w:val="en-GB"/>
              </w:rPr>
              <w:t>for a while after</w:t>
            </w:r>
            <w:r>
              <w:rPr>
                <w:rFonts w:ascii="Times New Roman" w:hAnsi="Times New Roman" w:cs="Times New Roman"/>
                <w:b/>
                <w:bCs/>
                <w:sz w:val="20"/>
                <w:szCs w:val="22"/>
                <w:lang w:val="en-GB"/>
              </w:rPr>
              <w:t xml:space="preserve"> the mIAB-DU migration. The time interval is up to implementation. </w:t>
            </w:r>
          </w:p>
        </w:tc>
      </w:tr>
      <w:tr w:rsidR="00A3488F" w14:paraId="586180F4" w14:textId="77777777">
        <w:trPr>
          <w:trHeight w:val="325"/>
        </w:trPr>
        <w:tc>
          <w:tcPr>
            <w:tcW w:w="1378" w:type="dxa"/>
          </w:tcPr>
          <w:p w14:paraId="586180F0"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586180F1"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80F2"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This needs to be supported. Otherwise, every DU migration will require an MT migration. It would not be possible to align MT and DU after partial migration.</w:t>
            </w:r>
          </w:p>
          <w:p w14:paraId="586180F3" w14:textId="77777777" w:rsidR="00A3488F" w:rsidRDefault="00D4377D">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Proposal: As the baseline, the mIAB-DU executes inter-donor migration while the co-located mIAB-MT stays connected to the same donor CU. Interleaved procedures for mIAB-MT migration and mIAB-DU migration to be discussed after baseline has been established.</w:t>
            </w:r>
          </w:p>
        </w:tc>
      </w:tr>
      <w:tr w:rsidR="00A3488F" w14:paraId="586180F8" w14:textId="77777777">
        <w:trPr>
          <w:trHeight w:val="342"/>
        </w:trPr>
        <w:tc>
          <w:tcPr>
            <w:tcW w:w="1378" w:type="dxa"/>
          </w:tcPr>
          <w:p w14:paraId="586180F5"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586180F6"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586180F7"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This makes sense. Agree with Ericsson’s comments.</w:t>
            </w:r>
          </w:p>
        </w:tc>
      </w:tr>
      <w:tr w:rsidR="00A3488F" w14:paraId="586180FC" w14:textId="77777777">
        <w:trPr>
          <w:trHeight w:val="325"/>
        </w:trPr>
        <w:tc>
          <w:tcPr>
            <w:tcW w:w="1378" w:type="dxa"/>
          </w:tcPr>
          <w:p w14:paraId="586180F9" w14:textId="77777777" w:rsidR="00A3488F" w:rsidRDefault="00D4377D">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MITRE</w:t>
            </w:r>
          </w:p>
        </w:tc>
        <w:tc>
          <w:tcPr>
            <w:tcW w:w="1209" w:type="dxa"/>
          </w:tcPr>
          <w:p w14:paraId="586180FA"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586180FB"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This is needed if DU and MT migrations need to remain decoupled.</w:t>
            </w:r>
          </w:p>
        </w:tc>
      </w:tr>
      <w:tr w:rsidR="00A3488F" w14:paraId="58618107" w14:textId="77777777">
        <w:trPr>
          <w:trHeight w:val="342"/>
        </w:trPr>
        <w:tc>
          <w:tcPr>
            <w:tcW w:w="1378" w:type="dxa"/>
          </w:tcPr>
          <w:p w14:paraId="586180FD"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586180FE"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 with comments</w:t>
            </w:r>
          </w:p>
        </w:tc>
        <w:tc>
          <w:tcPr>
            <w:tcW w:w="7200" w:type="dxa"/>
          </w:tcPr>
          <w:p w14:paraId="586180FF"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are not sure at the question/scenario. Is it the Step 2 below?</w:t>
            </w:r>
          </w:p>
          <w:p w14:paraId="58618100" w14:textId="77777777" w:rsidR="00A3488F" w:rsidRDefault="00D4377D">
            <w:pPr>
              <w:pStyle w:val="ListParagraph"/>
              <w:numPr>
                <w:ilvl w:val="0"/>
                <w:numId w:val="11"/>
              </w:numPr>
              <w:spacing w:before="120" w:after="0"/>
              <w:rPr>
                <w:rFonts w:ascii="Times New Roman" w:eastAsiaTheme="minorEastAsia" w:hAnsi="Times New Roman" w:cs="Times New Roman"/>
              </w:rPr>
            </w:pPr>
            <w:r>
              <w:rPr>
                <w:rFonts w:ascii="Times New Roman" w:eastAsiaTheme="minorEastAsia" w:hAnsi="Times New Roman" w:cs="Times New Roman"/>
              </w:rPr>
              <w:t xml:space="preserve">Step 1: Partial migration is performed, </w:t>
            </w:r>
            <w:proofErr w:type="gramStart"/>
            <w:r>
              <w:rPr>
                <w:rFonts w:ascii="Times New Roman" w:eastAsiaTheme="minorEastAsia" w:hAnsi="Times New Roman" w:cs="Times New Roman"/>
              </w:rPr>
              <w:t>i.e.</w:t>
            </w:r>
            <w:proofErr w:type="gramEnd"/>
            <w:r>
              <w:rPr>
                <w:rFonts w:ascii="Times New Roman" w:eastAsiaTheme="minorEastAsia" w:hAnsi="Times New Roman" w:cs="Times New Roman"/>
              </w:rPr>
              <w:t xml:space="preserve"> IAB-MT connects with </w:t>
            </w:r>
            <w:r>
              <w:rPr>
                <w:rFonts w:ascii="Times New Roman" w:eastAsiaTheme="minorEastAsia" w:hAnsi="Times New Roman" w:cs="Times New Roman"/>
                <w:b/>
                <w:bCs/>
              </w:rPr>
              <w:t>Donor2</w:t>
            </w:r>
            <w:r>
              <w:rPr>
                <w:rFonts w:ascii="Times New Roman" w:eastAsiaTheme="minorEastAsia" w:hAnsi="Times New Roman" w:cs="Times New Roman"/>
              </w:rPr>
              <w:t xml:space="preserve">-CU, IAB-DU connects with </w:t>
            </w:r>
            <w:r>
              <w:rPr>
                <w:rFonts w:ascii="Times New Roman" w:eastAsiaTheme="minorEastAsia" w:hAnsi="Times New Roman" w:cs="Times New Roman"/>
                <w:b/>
                <w:bCs/>
              </w:rPr>
              <w:t>Donor1</w:t>
            </w:r>
            <w:r>
              <w:rPr>
                <w:rFonts w:ascii="Times New Roman" w:eastAsiaTheme="minorEastAsia" w:hAnsi="Times New Roman" w:cs="Times New Roman"/>
              </w:rPr>
              <w:t>-CU</w:t>
            </w:r>
          </w:p>
          <w:p w14:paraId="58618101" w14:textId="77777777" w:rsidR="00A3488F" w:rsidRDefault="00D4377D">
            <w:pPr>
              <w:pStyle w:val="ListParagraph"/>
              <w:numPr>
                <w:ilvl w:val="0"/>
                <w:numId w:val="11"/>
              </w:numPr>
              <w:spacing w:before="120" w:after="0"/>
              <w:rPr>
                <w:rFonts w:ascii="Times New Roman" w:eastAsiaTheme="minorEastAsia" w:hAnsi="Times New Roman" w:cs="Times New Roman"/>
              </w:rPr>
            </w:pPr>
            <w:r>
              <w:rPr>
                <w:rFonts w:ascii="Times New Roman" w:eastAsiaTheme="minorEastAsia" w:hAnsi="Times New Roman" w:cs="Times New Roman"/>
              </w:rPr>
              <w:t xml:space="preserve">Step 2: IAB-DU initiates migration to </w:t>
            </w:r>
            <w:r>
              <w:rPr>
                <w:rFonts w:ascii="Times New Roman" w:eastAsiaTheme="minorEastAsia" w:hAnsi="Times New Roman" w:cs="Times New Roman"/>
                <w:b/>
                <w:bCs/>
              </w:rPr>
              <w:t>Donor3</w:t>
            </w:r>
            <w:r>
              <w:rPr>
                <w:rFonts w:ascii="Times New Roman" w:eastAsiaTheme="minorEastAsia" w:hAnsi="Times New Roman" w:cs="Times New Roman"/>
              </w:rPr>
              <w:t xml:space="preserve">-CU, while IAB-MT remains connected with Donor2-CU. </w:t>
            </w:r>
          </w:p>
          <w:p w14:paraId="58618102"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If it is </w:t>
            </w:r>
            <w:proofErr w:type="spellStart"/>
            <w:r>
              <w:rPr>
                <w:rFonts w:ascii="Times New Roman" w:eastAsiaTheme="minorEastAsia" w:hAnsi="Times New Roman" w:cs="Times New Roman"/>
                <w:sz w:val="20"/>
                <w:szCs w:val="20"/>
                <w:lang w:val="en-GB" w:eastAsia="zh-CN"/>
              </w:rPr>
              <w:t>is</w:t>
            </w:r>
            <w:proofErr w:type="spellEnd"/>
            <w:r>
              <w:rPr>
                <w:rFonts w:ascii="Times New Roman" w:eastAsiaTheme="minorEastAsia" w:hAnsi="Times New Roman" w:cs="Times New Roman"/>
                <w:sz w:val="20"/>
                <w:szCs w:val="20"/>
                <w:lang w:val="en-GB" w:eastAsia="zh-CN"/>
              </w:rPr>
              <w:t xml:space="preserve"> Step 2, we have some further comments. </w:t>
            </w:r>
          </w:p>
          <w:p w14:paraId="58618103" w14:textId="77777777" w:rsidR="00A3488F" w:rsidRDefault="00D4377D">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sz w:val="20"/>
                <w:szCs w:val="20"/>
                <w:lang w:val="en-GB" w:eastAsia="zh-CN"/>
              </w:rPr>
              <w:t>For Qualcomm comment, “</w:t>
            </w:r>
            <w:r>
              <w:rPr>
                <w:rFonts w:ascii="Times New Roman" w:eastAsiaTheme="minorEastAsia" w:hAnsi="Times New Roman" w:cs="Times New Roman"/>
                <w:b/>
                <w:bCs/>
                <w:sz w:val="20"/>
                <w:szCs w:val="20"/>
                <w:lang w:val="en-GB" w:eastAsia="zh-CN"/>
              </w:rPr>
              <w:t>It would not be possible to align MT and DU after partial migration</w:t>
            </w:r>
            <w:r>
              <w:rPr>
                <w:rFonts w:ascii="Times New Roman" w:eastAsiaTheme="minorEastAsia" w:hAnsi="Times New Roman" w:cs="Times New Roman"/>
                <w:sz w:val="20"/>
                <w:szCs w:val="20"/>
                <w:lang w:val="en-GB" w:eastAsia="zh-CN"/>
              </w:rPr>
              <w:t xml:space="preserve">”, how can this ensure the alignment? For example, later, IAB-MT may </w:t>
            </w:r>
            <w:proofErr w:type="gramStart"/>
            <w:r>
              <w:rPr>
                <w:rFonts w:ascii="Times New Roman" w:eastAsiaTheme="minorEastAsia" w:hAnsi="Times New Roman" w:cs="Times New Roman"/>
                <w:sz w:val="20"/>
                <w:szCs w:val="20"/>
                <w:lang w:val="en-GB" w:eastAsia="zh-CN"/>
              </w:rPr>
              <w:t>actually handover</w:t>
            </w:r>
            <w:proofErr w:type="gramEnd"/>
            <w:r>
              <w:rPr>
                <w:rFonts w:ascii="Times New Roman" w:eastAsiaTheme="minorEastAsia" w:hAnsi="Times New Roman" w:cs="Times New Roman"/>
                <w:sz w:val="20"/>
                <w:szCs w:val="20"/>
                <w:lang w:val="en-GB" w:eastAsia="zh-CN"/>
              </w:rPr>
              <w:t xml:space="preserve"> to </w:t>
            </w:r>
            <w:r>
              <w:rPr>
                <w:rFonts w:ascii="Times New Roman" w:eastAsiaTheme="minorEastAsia" w:hAnsi="Times New Roman" w:cs="Times New Roman"/>
                <w:b/>
                <w:bCs/>
                <w:sz w:val="20"/>
                <w:szCs w:val="20"/>
                <w:lang w:val="en-GB" w:eastAsia="zh-CN"/>
              </w:rPr>
              <w:t>Donor4</w:t>
            </w:r>
            <w:r>
              <w:rPr>
                <w:rFonts w:ascii="Times New Roman" w:eastAsiaTheme="minorEastAsia" w:hAnsi="Times New Roman" w:cs="Times New Roman"/>
                <w:sz w:val="20"/>
                <w:szCs w:val="20"/>
                <w:lang w:val="en-GB" w:eastAsia="zh-CN"/>
              </w:rPr>
              <w:t xml:space="preserve">, rather </w:t>
            </w:r>
            <w:r>
              <w:rPr>
                <w:rFonts w:ascii="Times New Roman" w:eastAsiaTheme="minorEastAsia" w:hAnsi="Times New Roman" w:cs="Times New Roman"/>
                <w:b/>
                <w:bCs/>
                <w:sz w:val="20"/>
                <w:szCs w:val="20"/>
                <w:lang w:val="en-GB" w:eastAsia="zh-CN"/>
              </w:rPr>
              <w:t>Donor3.</w:t>
            </w:r>
          </w:p>
          <w:p w14:paraId="58618104"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think the baseline should be based on R17 partial migration, </w:t>
            </w:r>
            <w:proofErr w:type="gramStart"/>
            <w:r>
              <w:rPr>
                <w:rFonts w:ascii="Times New Roman" w:eastAsiaTheme="minorEastAsia" w:hAnsi="Times New Roman" w:cs="Times New Roman"/>
                <w:sz w:val="20"/>
                <w:szCs w:val="20"/>
                <w:lang w:val="en-GB" w:eastAsia="zh-CN"/>
              </w:rPr>
              <w:t>i.e.</w:t>
            </w:r>
            <w:proofErr w:type="gramEnd"/>
            <w:r>
              <w:rPr>
                <w:rFonts w:ascii="Times New Roman" w:eastAsiaTheme="minorEastAsia" w:hAnsi="Times New Roman" w:cs="Times New Roman"/>
                <w:sz w:val="20"/>
                <w:szCs w:val="20"/>
                <w:lang w:val="en-GB" w:eastAsia="zh-CN"/>
              </w:rPr>
              <w:t xml:space="preserve"> IAB-DU migration may be performed after the IAB-MT HO.    Performing IAB-DU migration before IAB-MT HO can have some issues, </w:t>
            </w:r>
            <w:proofErr w:type="gramStart"/>
            <w:r>
              <w:rPr>
                <w:rFonts w:ascii="Times New Roman" w:eastAsiaTheme="minorEastAsia" w:hAnsi="Times New Roman" w:cs="Times New Roman"/>
                <w:sz w:val="20"/>
                <w:szCs w:val="20"/>
                <w:lang w:val="en-GB" w:eastAsia="zh-CN"/>
              </w:rPr>
              <w:t>e.g.</w:t>
            </w:r>
            <w:proofErr w:type="gramEnd"/>
            <w:r>
              <w:rPr>
                <w:rFonts w:ascii="Times New Roman" w:eastAsiaTheme="minorEastAsia" w:hAnsi="Times New Roman" w:cs="Times New Roman"/>
                <w:sz w:val="20"/>
                <w:szCs w:val="20"/>
                <w:lang w:val="en-GB" w:eastAsia="zh-CN"/>
              </w:rPr>
              <w:t xml:space="preserve"> IAB-DU migrated to Donor3, but IAB-MT actually handover to Donor4. This also adds some complexity, </w:t>
            </w:r>
            <w:proofErr w:type="gramStart"/>
            <w:r>
              <w:rPr>
                <w:rFonts w:ascii="Times New Roman" w:eastAsiaTheme="minorEastAsia" w:hAnsi="Times New Roman" w:cs="Times New Roman"/>
                <w:sz w:val="20"/>
                <w:szCs w:val="20"/>
                <w:lang w:val="en-GB" w:eastAsia="zh-CN"/>
              </w:rPr>
              <w:t>i.e.</w:t>
            </w:r>
            <w:proofErr w:type="gramEnd"/>
            <w:r>
              <w:rPr>
                <w:rFonts w:ascii="Times New Roman" w:eastAsiaTheme="minorEastAsia" w:hAnsi="Times New Roman" w:cs="Times New Roman"/>
                <w:sz w:val="20"/>
                <w:szCs w:val="20"/>
                <w:lang w:val="en-GB" w:eastAsia="zh-CN"/>
              </w:rPr>
              <w:t xml:space="preserve"> need to determine whether use R17 partial migration, or new migration (i.e. IAB-DU first performs migration). </w:t>
            </w:r>
          </w:p>
          <w:p w14:paraId="58618105"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Please clarify the scenario/benefit.</w:t>
            </w:r>
          </w:p>
          <w:p w14:paraId="58618106" w14:textId="77777777" w:rsidR="00A3488F" w:rsidRDefault="00A3488F">
            <w:pPr>
              <w:spacing w:before="120" w:after="0"/>
              <w:rPr>
                <w:rFonts w:ascii="Times New Roman" w:eastAsiaTheme="minorEastAsia" w:hAnsi="Times New Roman" w:cs="Times New Roman"/>
                <w:sz w:val="20"/>
                <w:szCs w:val="20"/>
                <w:lang w:val="en-GB" w:eastAsia="zh-CN"/>
              </w:rPr>
            </w:pPr>
          </w:p>
        </w:tc>
      </w:tr>
      <w:tr w:rsidR="00A3488F" w14:paraId="5861810C" w14:textId="77777777">
        <w:trPr>
          <w:trHeight w:val="342"/>
        </w:trPr>
        <w:tc>
          <w:tcPr>
            <w:tcW w:w="1378" w:type="dxa"/>
          </w:tcPr>
          <w:p w14:paraId="58618108"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58618109" w14:textId="77777777" w:rsidR="00A3488F" w:rsidRDefault="00D4377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Pr>
          <w:p w14:paraId="5861810A" w14:textId="77777777" w:rsidR="00A3488F" w:rsidRPr="003F5102" w:rsidRDefault="00D4377D">
            <w:pPr>
              <w:spacing w:before="120" w:after="0"/>
              <w:rPr>
                <w:rFonts w:ascii="Times New Roman" w:eastAsiaTheme="minorEastAsia" w:hAnsi="Times New Roman" w:cs="Times New Roman"/>
                <w:sz w:val="20"/>
                <w:szCs w:val="20"/>
                <w:lang w:val="en-GB" w:eastAsia="zh-CN"/>
              </w:rPr>
            </w:pPr>
            <w:r w:rsidRPr="003F5102">
              <w:rPr>
                <w:rFonts w:ascii="Times New Roman" w:eastAsiaTheme="minorEastAsia" w:hAnsi="Times New Roman" w:cs="Times New Roman" w:hint="eastAsia"/>
                <w:sz w:val="20"/>
                <w:szCs w:val="20"/>
                <w:lang w:val="en-GB" w:eastAsia="zh-CN"/>
              </w:rPr>
              <w:t>W</w:t>
            </w:r>
            <w:r w:rsidRPr="003F5102">
              <w:rPr>
                <w:rFonts w:ascii="Times New Roman" w:eastAsiaTheme="minorEastAsia" w:hAnsi="Times New Roman" w:cs="Times New Roman"/>
                <w:sz w:val="20"/>
                <w:szCs w:val="20"/>
                <w:lang w:val="en-GB" w:eastAsia="zh-CN"/>
              </w:rPr>
              <w:t>e still have some concerns on the anchor CU.</w:t>
            </w:r>
          </w:p>
          <w:p w14:paraId="5861810B" w14:textId="77777777" w:rsidR="00A3488F" w:rsidRPr="003F5102" w:rsidRDefault="00D4377D">
            <w:pPr>
              <w:spacing w:before="120" w:after="0"/>
              <w:rPr>
                <w:rFonts w:ascii="Times New Roman" w:eastAsiaTheme="minorEastAsia" w:hAnsi="Times New Roman" w:cs="Times New Roman"/>
                <w:sz w:val="20"/>
                <w:szCs w:val="20"/>
                <w:lang w:val="en-GB" w:eastAsia="zh-CN"/>
              </w:rPr>
            </w:pPr>
            <w:r w:rsidRPr="003F5102">
              <w:rPr>
                <w:rFonts w:ascii="Times New Roman" w:eastAsiaTheme="minorEastAsia" w:hAnsi="Times New Roman" w:cs="Times New Roman"/>
                <w:sz w:val="20"/>
                <w:szCs w:val="20"/>
                <w:lang w:val="en-GB" w:eastAsia="zh-CN"/>
              </w:rPr>
              <w:t>If the term “anchor CU” is just a term denoting the F1-terminating CU which h</w:t>
            </w:r>
            <w:r w:rsidRPr="003F5102">
              <w:rPr>
                <w:rFonts w:ascii="Times New Roman" w:hAnsi="Times New Roman" w:cs="Times New Roman"/>
                <w:sz w:val="20"/>
                <w:szCs w:val="20"/>
              </w:rPr>
              <w:t>as a larger coverage than the RRC-terminating CU</w:t>
            </w:r>
            <w:r w:rsidRPr="003F5102">
              <w:rPr>
                <w:rFonts w:ascii="Times New Roman" w:eastAsiaTheme="minorEastAsia" w:hAnsi="Times New Roman" w:cs="Times New Roman"/>
                <w:sz w:val="20"/>
                <w:szCs w:val="20"/>
                <w:lang w:val="en-GB" w:eastAsia="zh-CN"/>
              </w:rPr>
              <w:t>, how can the mobile IAB-node or RRC-terminating CU be aware of the anchor CU and let IAB-DU to setup F1 connection to the anchor CU.</w:t>
            </w:r>
          </w:p>
        </w:tc>
      </w:tr>
      <w:tr w:rsidR="00A3488F" w14:paraId="58618111" w14:textId="77777777">
        <w:trPr>
          <w:trHeight w:val="342"/>
        </w:trPr>
        <w:tc>
          <w:tcPr>
            <w:tcW w:w="1378" w:type="dxa"/>
          </w:tcPr>
          <w:p w14:paraId="5861810D"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w:t>
            </w:r>
          </w:p>
        </w:tc>
        <w:tc>
          <w:tcPr>
            <w:tcW w:w="1209" w:type="dxa"/>
          </w:tcPr>
          <w:p w14:paraId="5861810E"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w:t>
            </w:r>
          </w:p>
        </w:tc>
        <w:tc>
          <w:tcPr>
            <w:tcW w:w="7200" w:type="dxa"/>
          </w:tcPr>
          <w:p w14:paraId="5861810F"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Share similar view as Nokia and Lenovo.</w:t>
            </w:r>
          </w:p>
          <w:p w14:paraId="58618110"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Based on the example given by Nokia, we can only accept the IAB-DU initiates migration from </w:t>
            </w:r>
            <w:r>
              <w:rPr>
                <w:rFonts w:ascii="Times New Roman" w:eastAsiaTheme="minorEastAsia" w:hAnsi="Times New Roman" w:cs="Times New Roman"/>
                <w:b/>
                <w:sz w:val="20"/>
                <w:szCs w:val="20"/>
                <w:lang w:eastAsia="zh-CN"/>
              </w:rPr>
              <w:t>Donor1-CU</w:t>
            </w:r>
            <w:r>
              <w:rPr>
                <w:rFonts w:ascii="Times New Roman" w:eastAsiaTheme="minorEastAsia" w:hAnsi="Times New Roman" w:cs="Times New Roman"/>
                <w:sz w:val="20"/>
                <w:szCs w:val="20"/>
                <w:lang w:eastAsia="zh-CN"/>
              </w:rPr>
              <w:t xml:space="preserve"> to </w:t>
            </w:r>
            <w:r>
              <w:rPr>
                <w:rFonts w:ascii="Times New Roman" w:eastAsiaTheme="minorEastAsia" w:hAnsi="Times New Roman" w:cs="Times New Roman"/>
                <w:b/>
                <w:sz w:val="20"/>
                <w:szCs w:val="20"/>
                <w:lang w:eastAsia="zh-CN"/>
              </w:rPr>
              <w:t xml:space="preserve">Donor2-CU </w:t>
            </w:r>
            <w:r>
              <w:rPr>
                <w:rFonts w:ascii="Times New Roman" w:eastAsiaTheme="minorEastAsia" w:hAnsi="Times New Roman" w:cs="Times New Roman"/>
                <w:sz w:val="20"/>
                <w:szCs w:val="20"/>
                <w:lang w:eastAsia="zh-CN"/>
              </w:rPr>
              <w:t>(</w:t>
            </w:r>
            <w:proofErr w:type="gramStart"/>
            <w:r>
              <w:rPr>
                <w:rFonts w:ascii="Times New Roman" w:eastAsiaTheme="minorEastAsia" w:hAnsi="Times New Roman" w:cs="Times New Roman"/>
                <w:sz w:val="20"/>
                <w:szCs w:val="20"/>
                <w:lang w:eastAsia="zh-CN"/>
              </w:rPr>
              <w:t>i.e.</w:t>
            </w:r>
            <w:proofErr w:type="gramEnd"/>
            <w:r>
              <w:rPr>
                <w:rFonts w:ascii="Times New Roman" w:eastAsiaTheme="minorEastAsia" w:hAnsi="Times New Roman" w:cs="Times New Roman"/>
                <w:sz w:val="20"/>
                <w:szCs w:val="20"/>
                <w:lang w:eastAsia="zh-CN"/>
              </w:rPr>
              <w:t xml:space="preserve"> the Donor-CU of IAB-MT</w:t>
            </w:r>
            <w:r>
              <w:rPr>
                <w:rFonts w:ascii="Times New Roman" w:eastAsiaTheme="minorEastAsia" w:hAnsi="Times New Roman" w:cs="Times New Roman"/>
                <w:b/>
                <w:sz w:val="20"/>
                <w:szCs w:val="20"/>
                <w:lang w:eastAsia="zh-CN"/>
              </w:rPr>
              <w:t>)</w:t>
            </w:r>
            <w:r>
              <w:rPr>
                <w:rFonts w:ascii="Times New Roman" w:eastAsiaTheme="minorEastAsia" w:hAnsi="Times New Roman" w:cs="Times New Roman"/>
                <w:sz w:val="20"/>
                <w:szCs w:val="20"/>
                <w:lang w:eastAsia="zh-CN"/>
              </w:rPr>
              <w:t xml:space="preserve"> in step 2, we cannot accept IAB-DU migrate to a new donor3-CU, which will bring more issues and complexities.</w:t>
            </w:r>
          </w:p>
        </w:tc>
      </w:tr>
      <w:tr w:rsidR="00A3488F" w14:paraId="58618118" w14:textId="77777777">
        <w:trPr>
          <w:trHeight w:val="342"/>
        </w:trPr>
        <w:tc>
          <w:tcPr>
            <w:tcW w:w="1378" w:type="dxa"/>
          </w:tcPr>
          <w:p w14:paraId="58618112"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58618113"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See comments</w:t>
            </w:r>
          </w:p>
        </w:tc>
        <w:tc>
          <w:tcPr>
            <w:tcW w:w="7200" w:type="dxa"/>
          </w:tcPr>
          <w:p w14:paraId="58618114"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think the scenario needs to be clarified first. </w:t>
            </w:r>
          </w:p>
          <w:p w14:paraId="58618115" w14:textId="77777777" w:rsidR="00A3488F" w:rsidRDefault="00D4377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For the anchor CU scenario, the traffic between the anchor CU and the mobile IAB-DU is transferred via the IAB donor serving the mobile IAB-MT, </w:t>
            </w:r>
            <w:proofErr w:type="gramStart"/>
            <w:r>
              <w:rPr>
                <w:rFonts w:ascii="Times New Roman" w:eastAsiaTheme="minorEastAsia" w:hAnsi="Times New Roman" w:cs="Times New Roman" w:hint="eastAsia"/>
                <w:sz w:val="20"/>
                <w:szCs w:val="20"/>
                <w:lang w:eastAsia="zh-CN"/>
              </w:rPr>
              <w:t>e.g.</w:t>
            </w:r>
            <w:proofErr w:type="gramEnd"/>
            <w:r>
              <w:rPr>
                <w:rFonts w:ascii="Times New Roman" w:eastAsiaTheme="minorEastAsia" w:hAnsi="Times New Roman" w:cs="Times New Roman" w:hint="eastAsia"/>
                <w:sz w:val="20"/>
                <w:szCs w:val="20"/>
                <w:lang w:eastAsia="zh-CN"/>
              </w:rPr>
              <w:t xml:space="preserve"> via IP routing as in R17 partial migration. In this situation, the anchor CU can keep unchanged when the mobile IAB node </w:t>
            </w:r>
            <w:proofErr w:type="gramStart"/>
            <w:r>
              <w:rPr>
                <w:rFonts w:ascii="Times New Roman" w:eastAsiaTheme="minorEastAsia" w:hAnsi="Times New Roman" w:cs="Times New Roman" w:hint="eastAsia"/>
                <w:sz w:val="20"/>
                <w:szCs w:val="20"/>
                <w:lang w:eastAsia="zh-CN"/>
              </w:rPr>
              <w:t>is connected with</w:t>
            </w:r>
            <w:proofErr w:type="gramEnd"/>
            <w:r>
              <w:rPr>
                <w:rFonts w:ascii="Times New Roman" w:eastAsiaTheme="minorEastAsia" w:hAnsi="Times New Roman" w:cs="Times New Roman" w:hint="eastAsia"/>
                <w:sz w:val="20"/>
                <w:szCs w:val="20"/>
                <w:lang w:eastAsia="zh-CN"/>
              </w:rPr>
              <w:t xml:space="preserve"> the same IAB donor considering that the traffic between the anchor CU and the mobile IAB-DU can always be transmitted via the IAB donor. </w:t>
            </w:r>
            <w:proofErr w:type="gramStart"/>
            <w:r>
              <w:rPr>
                <w:rFonts w:ascii="Times New Roman" w:eastAsiaTheme="minorEastAsia" w:hAnsi="Times New Roman" w:cs="Times New Roman" w:hint="eastAsia"/>
                <w:sz w:val="20"/>
                <w:szCs w:val="20"/>
                <w:lang w:eastAsia="zh-CN"/>
              </w:rPr>
              <w:t>So</w:t>
            </w:r>
            <w:proofErr w:type="gramEnd"/>
            <w:r>
              <w:rPr>
                <w:rFonts w:ascii="Times New Roman" w:eastAsiaTheme="minorEastAsia" w:hAnsi="Times New Roman" w:cs="Times New Roman" w:hint="eastAsia"/>
                <w:sz w:val="20"/>
                <w:szCs w:val="20"/>
                <w:lang w:eastAsia="zh-CN"/>
              </w:rPr>
              <w:t xml:space="preserve"> 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see motivation for </w:t>
            </w:r>
            <w:r>
              <w:rPr>
                <w:rFonts w:ascii="Times New Roman" w:eastAsiaTheme="minorEastAsia" w:hAnsi="Times New Roman" w:cs="Times New Roman" w:hint="eastAsia"/>
                <w:sz w:val="20"/>
                <w:szCs w:val="20"/>
                <w:lang w:eastAsia="en-US"/>
              </w:rPr>
              <w:t>a mobile IAB-DU execute inter-donor migration</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en-US"/>
              </w:rPr>
              <w:t>while the co-located mobile IAB-MT stays connected to the same donor</w:t>
            </w:r>
            <w:r>
              <w:rPr>
                <w:rFonts w:ascii="Times New Roman" w:eastAsiaTheme="minorEastAsia" w:hAnsi="Times New Roman" w:cs="Times New Roman" w:hint="eastAsia"/>
                <w:sz w:val="20"/>
                <w:szCs w:val="20"/>
                <w:lang w:eastAsia="zh-CN"/>
              </w:rPr>
              <w:t xml:space="preserve"> in the anchor CU scenario. </w:t>
            </w:r>
          </w:p>
          <w:p w14:paraId="58618116" w14:textId="77777777" w:rsidR="00A3488F" w:rsidRDefault="00D4377D">
            <w:pPr>
              <w:spacing w:before="120" w:after="0"/>
              <w:rPr>
                <w:rFonts w:ascii="Times New Roman" w:eastAsia="SimSun" w:hAnsi="Times New Roman" w:cs="Times New Roman"/>
                <w:sz w:val="20"/>
                <w:szCs w:val="20"/>
                <w:lang w:eastAsia="zh-CN"/>
              </w:rPr>
            </w:pPr>
            <w:r>
              <w:rPr>
                <w:rFonts w:ascii="Times New Roman" w:eastAsiaTheme="minorEastAsia" w:hAnsi="Times New Roman" w:cs="Times New Roman" w:hint="eastAsia"/>
                <w:sz w:val="20"/>
                <w:szCs w:val="20"/>
                <w:lang w:eastAsia="zh-CN"/>
              </w:rPr>
              <w:t>For the scenario where DU migration needs to be performed before MT migration, e.g., when there is no IP connectivity between F1 terminating CU and target donor DU, m</w:t>
            </w:r>
            <w:r>
              <w:rPr>
                <w:rFonts w:ascii="Times New Roman" w:hAnsi="Times New Roman" w:cs="Times New Roman"/>
                <w:sz w:val="20"/>
                <w:szCs w:val="20"/>
              </w:rPr>
              <w:t xml:space="preserve">IAB-DU execute inter-donor migration </w:t>
            </w:r>
            <w:r>
              <w:rPr>
                <w:rFonts w:ascii="Times New Roman" w:hAnsi="Times New Roman" w:cs="Times New Roman"/>
                <w:sz w:val="20"/>
                <w:szCs w:val="22"/>
                <w:lang w:val="en-GB"/>
              </w:rPr>
              <w:t>while the co-located mIAB-MT stays connected to the same donor CU</w:t>
            </w:r>
            <w:r>
              <w:rPr>
                <w:rFonts w:ascii="Times New Roman" w:eastAsia="SimSun" w:hAnsi="Times New Roman" w:cs="Times New Roman" w:hint="eastAsia"/>
                <w:sz w:val="20"/>
                <w:szCs w:val="22"/>
                <w:lang w:eastAsia="zh-CN"/>
              </w:rPr>
              <w:t xml:space="preserve">. And MT migration is executed after DU/UE migration during the full migration. </w:t>
            </w:r>
            <w:proofErr w:type="gramStart"/>
            <w:r>
              <w:rPr>
                <w:rFonts w:ascii="Times New Roman" w:eastAsia="SimSun" w:hAnsi="Times New Roman" w:cs="Times New Roman" w:hint="eastAsia"/>
                <w:sz w:val="20"/>
                <w:szCs w:val="22"/>
                <w:lang w:eastAsia="zh-CN"/>
              </w:rPr>
              <w:t>So</w:t>
            </w:r>
            <w:proofErr w:type="gramEnd"/>
            <w:r>
              <w:rPr>
                <w:rFonts w:ascii="Times New Roman" w:eastAsia="SimSun" w:hAnsi="Times New Roman" w:cs="Times New Roman" w:hint="eastAsia"/>
                <w:sz w:val="20"/>
                <w:szCs w:val="22"/>
                <w:lang w:eastAsia="zh-CN"/>
              </w:rPr>
              <w:t xml:space="preserve"> we propose:</w:t>
            </w:r>
          </w:p>
          <w:p w14:paraId="58618117" w14:textId="77777777" w:rsidR="00A3488F" w:rsidRDefault="00D4377D">
            <w:pPr>
              <w:spacing w:before="120" w:after="0"/>
              <w:rPr>
                <w:rFonts w:ascii="Times New Roman" w:eastAsia="SimSun" w:hAnsi="Times New Roman" w:cs="Times New Roman"/>
                <w:sz w:val="20"/>
                <w:szCs w:val="20"/>
                <w:lang w:eastAsia="zh-CN"/>
              </w:rPr>
            </w:pPr>
            <w:r>
              <w:rPr>
                <w:rFonts w:ascii="Times New Roman" w:eastAsiaTheme="minorEastAsia" w:hAnsi="Times New Roman" w:cs="Times New Roman" w:hint="eastAsia"/>
                <w:b/>
                <w:bCs/>
                <w:sz w:val="20"/>
                <w:szCs w:val="20"/>
                <w:lang w:eastAsia="zh-CN"/>
              </w:rPr>
              <w:t>Proposal: For inter-donor full migration, the migration of m</w:t>
            </w:r>
            <w:r>
              <w:rPr>
                <w:rFonts w:ascii="Times New Roman" w:hAnsi="Times New Roman" w:cs="Times New Roman"/>
                <w:b/>
                <w:bCs/>
                <w:sz w:val="20"/>
                <w:szCs w:val="20"/>
              </w:rPr>
              <w:t>IAB-DU</w:t>
            </w:r>
            <w:r>
              <w:rPr>
                <w:rFonts w:ascii="Times New Roman" w:eastAsia="SimSun" w:hAnsi="Times New Roman" w:cs="Times New Roman" w:hint="eastAsia"/>
                <w:b/>
                <w:bCs/>
                <w:sz w:val="20"/>
                <w:szCs w:val="20"/>
                <w:lang w:eastAsia="zh-CN"/>
              </w:rPr>
              <w:t xml:space="preserve"> can be executed after or before the migration of the co-located </w:t>
            </w:r>
            <w:r>
              <w:rPr>
                <w:rFonts w:ascii="Times New Roman" w:eastAsiaTheme="minorEastAsia" w:hAnsi="Times New Roman" w:cs="Times New Roman" w:hint="eastAsia"/>
                <w:b/>
                <w:bCs/>
                <w:sz w:val="20"/>
                <w:szCs w:val="20"/>
                <w:lang w:eastAsia="zh-CN"/>
              </w:rPr>
              <w:t>m</w:t>
            </w:r>
            <w:r>
              <w:rPr>
                <w:rFonts w:ascii="Times New Roman" w:hAnsi="Times New Roman" w:cs="Times New Roman"/>
                <w:b/>
                <w:bCs/>
                <w:sz w:val="20"/>
                <w:szCs w:val="20"/>
              </w:rPr>
              <w:t>IAB-</w:t>
            </w:r>
            <w:r>
              <w:rPr>
                <w:rFonts w:ascii="Times New Roman" w:eastAsia="SimSun" w:hAnsi="Times New Roman" w:cs="Times New Roman" w:hint="eastAsia"/>
                <w:b/>
                <w:bCs/>
                <w:sz w:val="20"/>
                <w:szCs w:val="20"/>
                <w:lang w:eastAsia="zh-CN"/>
              </w:rPr>
              <w:t xml:space="preserve">MT. </w:t>
            </w:r>
          </w:p>
        </w:tc>
      </w:tr>
      <w:tr w:rsidR="00665DD5" w14:paraId="5861811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618119"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Samsung </w:t>
            </w:r>
          </w:p>
        </w:tc>
        <w:tc>
          <w:tcPr>
            <w:tcW w:w="1209" w:type="dxa"/>
            <w:tcBorders>
              <w:top w:val="single" w:sz="4" w:space="0" w:color="auto"/>
              <w:left w:val="single" w:sz="4" w:space="0" w:color="auto"/>
              <w:bottom w:val="single" w:sz="4" w:space="0" w:color="auto"/>
              <w:right w:val="single" w:sz="4" w:space="0" w:color="auto"/>
            </w:tcBorders>
          </w:tcPr>
          <w:p w14:paraId="5861811A"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Borders>
              <w:top w:val="single" w:sz="4" w:space="0" w:color="auto"/>
              <w:left w:val="single" w:sz="4" w:space="0" w:color="auto"/>
              <w:bottom w:val="single" w:sz="4" w:space="0" w:color="auto"/>
              <w:right w:val="single" w:sz="4" w:space="0" w:color="auto"/>
            </w:tcBorders>
          </w:tcPr>
          <w:p w14:paraId="5861811B" w14:textId="77777777" w:rsidR="00665DD5" w:rsidRDefault="00665DD5" w:rsidP="00665DD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Similar view with Ericsson. </w:t>
            </w:r>
          </w:p>
        </w:tc>
      </w:tr>
    </w:tbl>
    <w:p w14:paraId="76EAE007" w14:textId="77777777" w:rsidR="009270DA" w:rsidRPr="00FD58F2" w:rsidRDefault="009270DA" w:rsidP="009270DA">
      <w:pPr>
        <w:spacing w:before="120" w:after="0"/>
        <w:rPr>
          <w:rFonts w:ascii="Times New Roman" w:hAnsi="Times New Roman" w:cs="Times New Roman"/>
          <w:b/>
          <w:bCs/>
          <w:color w:val="4472C4" w:themeColor="accent1"/>
          <w:sz w:val="20"/>
          <w:szCs w:val="20"/>
          <w:u w:val="single"/>
          <w:lang w:val="en-GB"/>
        </w:rPr>
      </w:pPr>
      <w:r w:rsidRPr="00FD58F2">
        <w:rPr>
          <w:rFonts w:ascii="Times New Roman" w:hAnsi="Times New Roman" w:cs="Times New Roman"/>
          <w:b/>
          <w:bCs/>
          <w:color w:val="4472C4" w:themeColor="accent1"/>
          <w:sz w:val="20"/>
          <w:szCs w:val="20"/>
          <w:u w:val="single"/>
          <w:lang w:val="en-GB"/>
        </w:rPr>
        <w:t>Summary:</w:t>
      </w:r>
    </w:p>
    <w:p w14:paraId="2BA16960" w14:textId="38A274C0" w:rsidR="009270DA" w:rsidRPr="00143C38" w:rsidRDefault="00A95CE5" w:rsidP="009270DA">
      <w:pPr>
        <w:spacing w:before="120" w:after="0"/>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lastRenderedPageBreak/>
        <w:t>6</w:t>
      </w:r>
      <w:r w:rsidR="00451120">
        <w:rPr>
          <w:rFonts w:ascii="Times New Roman" w:hAnsi="Times New Roman" w:cs="Times New Roman"/>
          <w:color w:val="0070C0"/>
          <w:sz w:val="20"/>
          <w:szCs w:val="20"/>
          <w:lang w:val="en-GB"/>
        </w:rPr>
        <w:t>/10 companies in favo</w:t>
      </w:r>
      <w:r>
        <w:rPr>
          <w:rFonts w:ascii="Times New Roman" w:hAnsi="Times New Roman" w:cs="Times New Roman"/>
          <w:color w:val="0070C0"/>
          <w:sz w:val="20"/>
          <w:szCs w:val="20"/>
          <w:lang w:val="en-GB"/>
        </w:rPr>
        <w:t>u</w:t>
      </w:r>
      <w:r w:rsidR="00451120">
        <w:rPr>
          <w:rFonts w:ascii="Times New Roman" w:hAnsi="Times New Roman" w:cs="Times New Roman"/>
          <w:color w:val="0070C0"/>
          <w:sz w:val="20"/>
          <w:szCs w:val="20"/>
          <w:lang w:val="en-GB"/>
        </w:rPr>
        <w:t>r</w:t>
      </w:r>
      <w:r>
        <w:rPr>
          <w:rFonts w:ascii="Times New Roman" w:hAnsi="Times New Roman" w:cs="Times New Roman"/>
          <w:color w:val="0070C0"/>
          <w:sz w:val="20"/>
          <w:szCs w:val="20"/>
          <w:lang w:val="en-GB"/>
        </w:rPr>
        <w:t xml:space="preserve"> (some with comments)</w:t>
      </w:r>
      <w:r w:rsidR="00451120">
        <w:rPr>
          <w:rFonts w:ascii="Times New Roman" w:hAnsi="Times New Roman" w:cs="Times New Roman"/>
          <w:color w:val="0070C0"/>
          <w:sz w:val="20"/>
          <w:szCs w:val="20"/>
          <w:lang w:val="en-GB"/>
        </w:rPr>
        <w:t>,</w:t>
      </w:r>
      <w:r w:rsidR="001355C7">
        <w:rPr>
          <w:rFonts w:ascii="Times New Roman" w:hAnsi="Times New Roman" w:cs="Times New Roman"/>
          <w:color w:val="0070C0"/>
          <w:sz w:val="20"/>
          <w:szCs w:val="20"/>
          <w:lang w:val="en-GB"/>
        </w:rPr>
        <w:t xml:space="preserve"> 11 company wants to clarify the scenario, while</w:t>
      </w:r>
      <w:r w:rsidR="00451120">
        <w:rPr>
          <w:rFonts w:ascii="Times New Roman" w:hAnsi="Times New Roman" w:cs="Times New Roman"/>
          <w:color w:val="0070C0"/>
          <w:sz w:val="20"/>
          <w:szCs w:val="20"/>
          <w:lang w:val="en-GB"/>
        </w:rPr>
        <w:t xml:space="preserve"> </w:t>
      </w:r>
      <w:r w:rsidR="001355C7">
        <w:rPr>
          <w:rFonts w:ascii="Times New Roman" w:hAnsi="Times New Roman" w:cs="Times New Roman"/>
          <w:color w:val="0070C0"/>
          <w:sz w:val="20"/>
          <w:szCs w:val="20"/>
          <w:lang w:val="en-GB"/>
        </w:rPr>
        <w:t>3</w:t>
      </w:r>
      <w:r w:rsidR="00F72B54">
        <w:rPr>
          <w:rFonts w:ascii="Times New Roman" w:hAnsi="Times New Roman" w:cs="Times New Roman"/>
          <w:color w:val="0070C0"/>
          <w:sz w:val="20"/>
          <w:szCs w:val="20"/>
          <w:lang w:val="en-GB"/>
        </w:rPr>
        <w:t xml:space="preserve">/10 companies have </w:t>
      </w:r>
      <w:r w:rsidR="001355C7">
        <w:rPr>
          <w:rFonts w:ascii="Times New Roman" w:hAnsi="Times New Roman" w:cs="Times New Roman"/>
          <w:color w:val="0070C0"/>
          <w:sz w:val="20"/>
          <w:szCs w:val="20"/>
          <w:lang w:val="en-GB"/>
        </w:rPr>
        <w:t xml:space="preserve">concerns. The Moderator notes that </w:t>
      </w:r>
      <w:r w:rsidR="00FD475A">
        <w:rPr>
          <w:rFonts w:ascii="Times New Roman" w:hAnsi="Times New Roman" w:cs="Times New Roman"/>
          <w:color w:val="0070C0"/>
          <w:sz w:val="20"/>
          <w:szCs w:val="20"/>
          <w:lang w:val="en-GB"/>
        </w:rPr>
        <w:t xml:space="preserve">we need to resolve this issue </w:t>
      </w:r>
      <w:r w:rsidR="00497BCE">
        <w:rPr>
          <w:rFonts w:ascii="Times New Roman" w:hAnsi="Times New Roman" w:cs="Times New Roman"/>
          <w:color w:val="0070C0"/>
          <w:sz w:val="20"/>
          <w:szCs w:val="20"/>
          <w:lang w:val="en-GB"/>
        </w:rPr>
        <w:t>to</w:t>
      </w:r>
      <w:r w:rsidR="00FD475A">
        <w:rPr>
          <w:rFonts w:ascii="Times New Roman" w:hAnsi="Times New Roman" w:cs="Times New Roman"/>
          <w:color w:val="0070C0"/>
          <w:sz w:val="20"/>
          <w:szCs w:val="20"/>
          <w:lang w:val="en-GB"/>
        </w:rPr>
        <w:t xml:space="preserve"> progress with stage2 </w:t>
      </w:r>
      <w:r w:rsidR="00497BCE">
        <w:rPr>
          <w:rFonts w:ascii="Times New Roman" w:hAnsi="Times New Roman" w:cs="Times New Roman"/>
          <w:color w:val="0070C0"/>
          <w:sz w:val="20"/>
          <w:szCs w:val="20"/>
          <w:lang w:val="en-GB"/>
        </w:rPr>
        <w:t>work on</w:t>
      </w:r>
      <w:r w:rsidR="00FD475A">
        <w:rPr>
          <w:rFonts w:ascii="Times New Roman" w:hAnsi="Times New Roman" w:cs="Times New Roman"/>
          <w:color w:val="0070C0"/>
          <w:sz w:val="20"/>
          <w:szCs w:val="20"/>
          <w:lang w:val="en-GB"/>
        </w:rPr>
        <w:t xml:space="preserve"> migration.</w:t>
      </w:r>
      <w:r w:rsidR="001355C7">
        <w:rPr>
          <w:rFonts w:ascii="Times New Roman" w:hAnsi="Times New Roman" w:cs="Times New Roman"/>
          <w:color w:val="0070C0"/>
          <w:sz w:val="20"/>
          <w:szCs w:val="20"/>
          <w:lang w:val="en-GB"/>
        </w:rPr>
        <w:t xml:space="preserve"> </w:t>
      </w:r>
      <w:r w:rsidR="00306EC5">
        <w:rPr>
          <w:rFonts w:ascii="Times New Roman" w:hAnsi="Times New Roman" w:cs="Times New Roman"/>
          <w:color w:val="0070C0"/>
          <w:sz w:val="20"/>
          <w:szCs w:val="20"/>
          <w:lang w:val="en-GB"/>
        </w:rPr>
        <w:t>We make the following</w:t>
      </w:r>
      <w:r w:rsidR="00082123">
        <w:rPr>
          <w:rFonts w:ascii="Times New Roman" w:hAnsi="Times New Roman" w:cs="Times New Roman"/>
          <w:color w:val="0070C0"/>
          <w:sz w:val="20"/>
          <w:szCs w:val="20"/>
          <w:lang w:val="en-GB"/>
        </w:rPr>
        <w:t xml:space="preserve"> general</w:t>
      </w:r>
      <w:r w:rsidR="00306EC5">
        <w:rPr>
          <w:rFonts w:ascii="Times New Roman" w:hAnsi="Times New Roman" w:cs="Times New Roman"/>
          <w:color w:val="0070C0"/>
          <w:sz w:val="20"/>
          <w:szCs w:val="20"/>
          <w:lang w:val="en-GB"/>
        </w:rPr>
        <w:t xml:space="preserve"> proposal, based on</w:t>
      </w:r>
      <w:r w:rsidR="007F2158">
        <w:rPr>
          <w:rFonts w:ascii="Times New Roman" w:hAnsi="Times New Roman" w:cs="Times New Roman"/>
          <w:color w:val="0070C0"/>
          <w:sz w:val="20"/>
          <w:szCs w:val="20"/>
          <w:lang w:val="en-GB"/>
        </w:rPr>
        <w:t xml:space="preserve"> rewording of</w:t>
      </w:r>
      <w:r w:rsidR="00306EC5">
        <w:rPr>
          <w:rFonts w:ascii="Times New Roman" w:hAnsi="Times New Roman" w:cs="Times New Roman"/>
          <w:color w:val="0070C0"/>
          <w:sz w:val="20"/>
          <w:szCs w:val="20"/>
          <w:lang w:val="en-GB"/>
        </w:rPr>
        <w:t xml:space="preserve"> Qualcomm’s </w:t>
      </w:r>
      <w:r w:rsidR="007F2158">
        <w:rPr>
          <w:rFonts w:ascii="Times New Roman" w:hAnsi="Times New Roman" w:cs="Times New Roman"/>
          <w:color w:val="0070C0"/>
          <w:sz w:val="20"/>
          <w:szCs w:val="20"/>
          <w:lang w:val="en-GB"/>
        </w:rPr>
        <w:t>proposal</w:t>
      </w:r>
      <w:r w:rsidR="00306EC5">
        <w:rPr>
          <w:rFonts w:ascii="Times New Roman" w:hAnsi="Times New Roman" w:cs="Times New Roman"/>
          <w:color w:val="0070C0"/>
          <w:sz w:val="20"/>
          <w:szCs w:val="20"/>
          <w:lang w:val="en-GB"/>
        </w:rPr>
        <w:t>:</w:t>
      </w:r>
    </w:p>
    <w:p w14:paraId="58618132" w14:textId="72028ADA" w:rsidR="00A3488F" w:rsidRDefault="009270DA" w:rsidP="009270DA">
      <w:pPr>
        <w:spacing w:before="120" w:after="0"/>
        <w:rPr>
          <w:rFonts w:ascii="Times New Roman" w:hAnsi="Times New Roman" w:cs="Times New Roman"/>
          <w:b/>
          <w:bCs/>
          <w:color w:val="00B050"/>
          <w:sz w:val="20"/>
          <w:szCs w:val="22"/>
          <w:lang w:val="en-GB"/>
        </w:rPr>
      </w:pPr>
      <w:r w:rsidRPr="009435B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w:t>
      </w:r>
      <w:r>
        <w:rPr>
          <w:rFonts w:ascii="Times New Roman" w:hAnsi="Times New Roman" w:cs="Times New Roman"/>
          <w:b/>
          <w:bCs/>
          <w:color w:val="00B050"/>
          <w:sz w:val="20"/>
          <w:szCs w:val="20"/>
          <w:lang w:val="en-GB"/>
        </w:rPr>
        <w:t>1-0</w:t>
      </w:r>
      <w:r>
        <w:rPr>
          <w:rFonts w:ascii="Times New Roman" w:hAnsi="Times New Roman" w:cs="Times New Roman"/>
          <w:b/>
          <w:bCs/>
          <w:color w:val="00B050"/>
          <w:sz w:val="20"/>
          <w:szCs w:val="20"/>
          <w:lang w:val="en-GB"/>
        </w:rPr>
        <w:t>:</w:t>
      </w:r>
      <w:r w:rsidR="007D5101" w:rsidRPr="007D5101">
        <w:t xml:space="preserve"> </w:t>
      </w:r>
      <w:r w:rsidR="007D5101" w:rsidRPr="007D5101">
        <w:rPr>
          <w:rFonts w:ascii="Times New Roman" w:hAnsi="Times New Roman" w:cs="Times New Roman"/>
          <w:b/>
          <w:bCs/>
          <w:color w:val="00B050"/>
          <w:sz w:val="20"/>
          <w:szCs w:val="20"/>
          <w:lang w:val="en-GB"/>
        </w:rPr>
        <w:t xml:space="preserve">As the baseline, the mIAB-DU executes inter-donor migration while the co-located mIAB-MT stays connected to the same donor </w:t>
      </w:r>
      <w:r w:rsidR="007B2507">
        <w:rPr>
          <w:rFonts w:ascii="Times New Roman" w:hAnsi="Times New Roman" w:cs="Times New Roman"/>
          <w:b/>
          <w:bCs/>
          <w:color w:val="00B050"/>
          <w:sz w:val="20"/>
          <w:szCs w:val="20"/>
          <w:lang w:val="en-GB"/>
        </w:rPr>
        <w:t xml:space="preserve">CU </w:t>
      </w:r>
      <w:r w:rsidR="007B2507" w:rsidRPr="007B2507">
        <w:rPr>
          <w:rFonts w:ascii="Times New Roman" w:hAnsi="Times New Roman" w:cs="Times New Roman"/>
          <w:b/>
          <w:bCs/>
          <w:color w:val="00B050"/>
          <w:sz w:val="20"/>
          <w:szCs w:val="20"/>
          <w:lang w:val="en-GB"/>
        </w:rPr>
        <w:t>before and after the mIAB-DU migration</w:t>
      </w:r>
      <w:r w:rsidR="007D5101" w:rsidRPr="007D5101">
        <w:rPr>
          <w:rFonts w:ascii="Times New Roman" w:hAnsi="Times New Roman" w:cs="Times New Roman"/>
          <w:b/>
          <w:bCs/>
          <w:color w:val="00B050"/>
          <w:sz w:val="20"/>
          <w:szCs w:val="20"/>
          <w:lang w:val="en-GB"/>
        </w:rPr>
        <w:t xml:space="preserve">. </w:t>
      </w:r>
      <w:r w:rsidR="004317D1">
        <w:rPr>
          <w:rFonts w:ascii="Times New Roman" w:hAnsi="Times New Roman" w:cs="Times New Roman"/>
          <w:b/>
          <w:bCs/>
          <w:color w:val="00B050"/>
          <w:sz w:val="20"/>
          <w:szCs w:val="20"/>
          <w:lang w:val="en-GB"/>
        </w:rPr>
        <w:t>Further details are FFS.</w:t>
      </w:r>
    </w:p>
    <w:bookmarkEnd w:id="3"/>
    <w:p w14:paraId="58618133" w14:textId="5971C685" w:rsidR="00A3488F" w:rsidRDefault="00A3488F">
      <w:pPr>
        <w:spacing w:before="120" w:after="0"/>
        <w:rPr>
          <w:rFonts w:ascii="Times New Roman" w:hAnsi="Times New Roman" w:cs="Times New Roman"/>
          <w:b/>
          <w:bCs/>
          <w:color w:val="00B050"/>
          <w:sz w:val="20"/>
          <w:szCs w:val="22"/>
          <w:lang w:val="en-GB"/>
        </w:rPr>
      </w:pPr>
    </w:p>
    <w:sectPr w:rsidR="00A3488F">
      <w:footerReference w:type="default" r:id="rId20"/>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Filip Barac" w:date="2022-10-13T11:39:00Z" w:initials="FB">
    <w:p w14:paraId="2BE85DA3" w14:textId="1F2EBEAC" w:rsidR="00E9113C" w:rsidRDefault="00E9113C">
      <w:pPr>
        <w:pStyle w:val="CommentText"/>
      </w:pPr>
      <w:r>
        <w:rPr>
          <w:rStyle w:val="CommentReference"/>
        </w:rPr>
        <w:annotationRef/>
      </w:r>
      <w:r>
        <w:t>DU involved in MT HO decision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E85D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27776" w16cex:dateUtc="2022-10-13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E85DA3" w16cid:durableId="26F277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D736C" w14:textId="77777777" w:rsidR="002E17B7" w:rsidRDefault="002E17B7">
      <w:pPr>
        <w:spacing w:after="0" w:line="240" w:lineRule="auto"/>
      </w:pPr>
      <w:r>
        <w:separator/>
      </w:r>
    </w:p>
  </w:endnote>
  <w:endnote w:type="continuationSeparator" w:id="0">
    <w:p w14:paraId="5FE25BA0" w14:textId="77777777" w:rsidR="002E17B7" w:rsidRDefault="002E1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MS Gothic"/>
    <w:panose1 w:val="00000000000000000000"/>
    <w:charset w:val="80"/>
    <w:family w:val="roman"/>
    <w:notTrueType/>
    <w:pitch w:val="fixed"/>
    <w:sig w:usb0="00000000" w:usb1="08070000" w:usb2="00000010"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3517312"/>
      <w:docPartObj>
        <w:docPartGallery w:val="Page Numbers (Bottom of Page)"/>
        <w:docPartUnique/>
      </w:docPartObj>
    </w:sdtPr>
    <w:sdtEndPr>
      <w:rPr>
        <w:noProof/>
      </w:rPr>
    </w:sdtEndPr>
    <w:sdtContent>
      <w:p w14:paraId="186FB2AA" w14:textId="1690EC8A" w:rsidR="00501688" w:rsidRDefault="005016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861813B" w14:textId="77777777" w:rsidR="00A3488F" w:rsidRDefault="00A34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880FC" w14:textId="77777777" w:rsidR="002E17B7" w:rsidRDefault="002E17B7">
      <w:pPr>
        <w:spacing w:after="0" w:line="240" w:lineRule="auto"/>
      </w:pPr>
      <w:r>
        <w:separator/>
      </w:r>
    </w:p>
  </w:footnote>
  <w:footnote w:type="continuationSeparator" w:id="0">
    <w:p w14:paraId="4271BB72" w14:textId="77777777" w:rsidR="002E17B7" w:rsidRDefault="002E17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21CBA"/>
    <w:multiLevelType w:val="multilevel"/>
    <w:tmpl w:val="0B821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1C3F07"/>
    <w:multiLevelType w:val="multilevel"/>
    <w:tmpl w:val="1E1C3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1260"/>
        </w:tabs>
        <w:ind w:left="126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F1F1D29"/>
    <w:multiLevelType w:val="multilevel"/>
    <w:tmpl w:val="4F1F1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71471EA"/>
    <w:multiLevelType w:val="multilevel"/>
    <w:tmpl w:val="571471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A226B20"/>
    <w:multiLevelType w:val="hybridMultilevel"/>
    <w:tmpl w:val="17DCD2EE"/>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9" w15:restartNumberingAfterBreak="0">
    <w:nsid w:val="72700DB3"/>
    <w:multiLevelType w:val="multilevel"/>
    <w:tmpl w:val="72700DB3"/>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64F061F"/>
    <w:multiLevelType w:val="multilevel"/>
    <w:tmpl w:val="764F0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A747541"/>
    <w:multiLevelType w:val="multilevel"/>
    <w:tmpl w:val="7A747541"/>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num>
  <w:num w:numId="5">
    <w:abstractNumId w:val="1"/>
  </w:num>
  <w:num w:numId="6">
    <w:abstractNumId w:val="9"/>
  </w:num>
  <w:num w:numId="7">
    <w:abstractNumId w:val="10"/>
  </w:num>
  <w:num w:numId="8">
    <w:abstractNumId w:val="6"/>
  </w:num>
  <w:num w:numId="9">
    <w:abstractNumId w:val="5"/>
  </w:num>
  <w:num w:numId="10">
    <w:abstractNumId w:val="11"/>
  </w:num>
  <w:num w:numId="11">
    <w:abstractNumId w:val="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lip Barac">
    <w15:presenceInfo w15:providerId="None" w15:userId="Filip Bar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10A8"/>
    <w:rsid w:val="00002CD5"/>
    <w:rsid w:val="00004350"/>
    <w:rsid w:val="00005FF1"/>
    <w:rsid w:val="00006BC3"/>
    <w:rsid w:val="000103DF"/>
    <w:rsid w:val="00010982"/>
    <w:rsid w:val="000111D8"/>
    <w:rsid w:val="0001191F"/>
    <w:rsid w:val="0001293F"/>
    <w:rsid w:val="000135B9"/>
    <w:rsid w:val="00013BA6"/>
    <w:rsid w:val="00017718"/>
    <w:rsid w:val="00017854"/>
    <w:rsid w:val="000208FA"/>
    <w:rsid w:val="0002455D"/>
    <w:rsid w:val="000252DA"/>
    <w:rsid w:val="000268D5"/>
    <w:rsid w:val="00026EA9"/>
    <w:rsid w:val="000277FF"/>
    <w:rsid w:val="00030C3D"/>
    <w:rsid w:val="0003748C"/>
    <w:rsid w:val="00041BF4"/>
    <w:rsid w:val="00041DD2"/>
    <w:rsid w:val="00042129"/>
    <w:rsid w:val="00044F9D"/>
    <w:rsid w:val="00052ABB"/>
    <w:rsid w:val="00055DC1"/>
    <w:rsid w:val="00060357"/>
    <w:rsid w:val="000618C3"/>
    <w:rsid w:val="000626BD"/>
    <w:rsid w:val="00065676"/>
    <w:rsid w:val="00072568"/>
    <w:rsid w:val="000742F3"/>
    <w:rsid w:val="0007527A"/>
    <w:rsid w:val="00076F2D"/>
    <w:rsid w:val="000773CE"/>
    <w:rsid w:val="00077C4D"/>
    <w:rsid w:val="00080DBB"/>
    <w:rsid w:val="00082123"/>
    <w:rsid w:val="00082EAB"/>
    <w:rsid w:val="0008441A"/>
    <w:rsid w:val="00084581"/>
    <w:rsid w:val="00092A3C"/>
    <w:rsid w:val="00093624"/>
    <w:rsid w:val="00093DE1"/>
    <w:rsid w:val="000A3C66"/>
    <w:rsid w:val="000A3CC6"/>
    <w:rsid w:val="000A67E1"/>
    <w:rsid w:val="000A6AEB"/>
    <w:rsid w:val="000A7190"/>
    <w:rsid w:val="000B0458"/>
    <w:rsid w:val="000B0585"/>
    <w:rsid w:val="000B0898"/>
    <w:rsid w:val="000B0DC0"/>
    <w:rsid w:val="000B2AA6"/>
    <w:rsid w:val="000B4A83"/>
    <w:rsid w:val="000B53D3"/>
    <w:rsid w:val="000B585C"/>
    <w:rsid w:val="000B634B"/>
    <w:rsid w:val="000B6369"/>
    <w:rsid w:val="000C4C12"/>
    <w:rsid w:val="000D1175"/>
    <w:rsid w:val="000D14DD"/>
    <w:rsid w:val="000D150B"/>
    <w:rsid w:val="000D1CE5"/>
    <w:rsid w:val="000D34F8"/>
    <w:rsid w:val="000D78CF"/>
    <w:rsid w:val="000F2C4F"/>
    <w:rsid w:val="000F4F94"/>
    <w:rsid w:val="000F57E2"/>
    <w:rsid w:val="000F5DFC"/>
    <w:rsid w:val="00101A5A"/>
    <w:rsid w:val="0010302D"/>
    <w:rsid w:val="00104509"/>
    <w:rsid w:val="00106034"/>
    <w:rsid w:val="00107A08"/>
    <w:rsid w:val="00110B0F"/>
    <w:rsid w:val="0011232B"/>
    <w:rsid w:val="00113927"/>
    <w:rsid w:val="00115EA5"/>
    <w:rsid w:val="00120701"/>
    <w:rsid w:val="00120F2E"/>
    <w:rsid w:val="001226F6"/>
    <w:rsid w:val="00122BFE"/>
    <w:rsid w:val="00123A05"/>
    <w:rsid w:val="001251A3"/>
    <w:rsid w:val="00130602"/>
    <w:rsid w:val="00134457"/>
    <w:rsid w:val="001355C7"/>
    <w:rsid w:val="00136315"/>
    <w:rsid w:val="001403B0"/>
    <w:rsid w:val="001408C3"/>
    <w:rsid w:val="00140B69"/>
    <w:rsid w:val="00142844"/>
    <w:rsid w:val="00143C38"/>
    <w:rsid w:val="00146824"/>
    <w:rsid w:val="00146C9A"/>
    <w:rsid w:val="00150677"/>
    <w:rsid w:val="00153172"/>
    <w:rsid w:val="0015345D"/>
    <w:rsid w:val="001535C2"/>
    <w:rsid w:val="00153C82"/>
    <w:rsid w:val="00160B1E"/>
    <w:rsid w:val="00166139"/>
    <w:rsid w:val="00171389"/>
    <w:rsid w:val="00177713"/>
    <w:rsid w:val="00180A10"/>
    <w:rsid w:val="00185137"/>
    <w:rsid w:val="00187B83"/>
    <w:rsid w:val="00190807"/>
    <w:rsid w:val="00190F49"/>
    <w:rsid w:val="001926FD"/>
    <w:rsid w:val="0019372C"/>
    <w:rsid w:val="001957A9"/>
    <w:rsid w:val="001A1874"/>
    <w:rsid w:val="001A25C4"/>
    <w:rsid w:val="001A36A3"/>
    <w:rsid w:val="001A6278"/>
    <w:rsid w:val="001A6916"/>
    <w:rsid w:val="001A787D"/>
    <w:rsid w:val="001B33BE"/>
    <w:rsid w:val="001B7C5D"/>
    <w:rsid w:val="001C5292"/>
    <w:rsid w:val="001C6E79"/>
    <w:rsid w:val="001D0C4B"/>
    <w:rsid w:val="001D1478"/>
    <w:rsid w:val="001D1A7F"/>
    <w:rsid w:val="001D284C"/>
    <w:rsid w:val="001D29C8"/>
    <w:rsid w:val="001D6182"/>
    <w:rsid w:val="001D6A88"/>
    <w:rsid w:val="001E074D"/>
    <w:rsid w:val="001E0E93"/>
    <w:rsid w:val="001E410C"/>
    <w:rsid w:val="001E4FFF"/>
    <w:rsid w:val="001E56B3"/>
    <w:rsid w:val="001E639B"/>
    <w:rsid w:val="001E6F87"/>
    <w:rsid w:val="001E749B"/>
    <w:rsid w:val="001F1295"/>
    <w:rsid w:val="001F3292"/>
    <w:rsid w:val="001F4A19"/>
    <w:rsid w:val="001F4C26"/>
    <w:rsid w:val="001F7549"/>
    <w:rsid w:val="002008F2"/>
    <w:rsid w:val="00200F60"/>
    <w:rsid w:val="00202547"/>
    <w:rsid w:val="00203CE7"/>
    <w:rsid w:val="00203F1A"/>
    <w:rsid w:val="00205EB5"/>
    <w:rsid w:val="00206CF3"/>
    <w:rsid w:val="002106BD"/>
    <w:rsid w:val="00215E4C"/>
    <w:rsid w:val="00217F9A"/>
    <w:rsid w:val="00231AE4"/>
    <w:rsid w:val="00232119"/>
    <w:rsid w:val="002333AA"/>
    <w:rsid w:val="00234446"/>
    <w:rsid w:val="00234AC7"/>
    <w:rsid w:val="002352F0"/>
    <w:rsid w:val="00240463"/>
    <w:rsid w:val="00241BFB"/>
    <w:rsid w:val="002420E4"/>
    <w:rsid w:val="00242BB1"/>
    <w:rsid w:val="00247C7E"/>
    <w:rsid w:val="00250BA5"/>
    <w:rsid w:val="002510A7"/>
    <w:rsid w:val="002535A6"/>
    <w:rsid w:val="00260790"/>
    <w:rsid w:val="00261ED8"/>
    <w:rsid w:val="0026515E"/>
    <w:rsid w:val="00266C0B"/>
    <w:rsid w:val="00270A55"/>
    <w:rsid w:val="00270B3F"/>
    <w:rsid w:val="0027668B"/>
    <w:rsid w:val="00276AAB"/>
    <w:rsid w:val="00280106"/>
    <w:rsid w:val="00280CEE"/>
    <w:rsid w:val="00286E4B"/>
    <w:rsid w:val="00290767"/>
    <w:rsid w:val="00291BD1"/>
    <w:rsid w:val="002922BB"/>
    <w:rsid w:val="002944B6"/>
    <w:rsid w:val="00295308"/>
    <w:rsid w:val="002A07E9"/>
    <w:rsid w:val="002A12A9"/>
    <w:rsid w:val="002A1725"/>
    <w:rsid w:val="002A1812"/>
    <w:rsid w:val="002A33D9"/>
    <w:rsid w:val="002A3818"/>
    <w:rsid w:val="002A7A5E"/>
    <w:rsid w:val="002B011D"/>
    <w:rsid w:val="002B1488"/>
    <w:rsid w:val="002C2FD7"/>
    <w:rsid w:val="002C456C"/>
    <w:rsid w:val="002C60E8"/>
    <w:rsid w:val="002C6647"/>
    <w:rsid w:val="002C7B21"/>
    <w:rsid w:val="002D0BA8"/>
    <w:rsid w:val="002D1EC2"/>
    <w:rsid w:val="002D21A7"/>
    <w:rsid w:val="002E17B7"/>
    <w:rsid w:val="002E347A"/>
    <w:rsid w:val="002E4038"/>
    <w:rsid w:val="002E4E10"/>
    <w:rsid w:val="002E5CDC"/>
    <w:rsid w:val="002E6433"/>
    <w:rsid w:val="002E6D03"/>
    <w:rsid w:val="002F20E9"/>
    <w:rsid w:val="002F43FA"/>
    <w:rsid w:val="002F5583"/>
    <w:rsid w:val="002F5708"/>
    <w:rsid w:val="002F6C6D"/>
    <w:rsid w:val="002F7A2E"/>
    <w:rsid w:val="0030076C"/>
    <w:rsid w:val="00301DDC"/>
    <w:rsid w:val="00302415"/>
    <w:rsid w:val="003038DB"/>
    <w:rsid w:val="00303B8A"/>
    <w:rsid w:val="00303C98"/>
    <w:rsid w:val="003053BD"/>
    <w:rsid w:val="00305F36"/>
    <w:rsid w:val="00306EC5"/>
    <w:rsid w:val="003111FD"/>
    <w:rsid w:val="003113D2"/>
    <w:rsid w:val="00314F9F"/>
    <w:rsid w:val="00316535"/>
    <w:rsid w:val="003223A3"/>
    <w:rsid w:val="00323563"/>
    <w:rsid w:val="003235F7"/>
    <w:rsid w:val="0032429C"/>
    <w:rsid w:val="00326839"/>
    <w:rsid w:val="00333FBF"/>
    <w:rsid w:val="00334176"/>
    <w:rsid w:val="0033462D"/>
    <w:rsid w:val="00340D1B"/>
    <w:rsid w:val="00341245"/>
    <w:rsid w:val="0034420F"/>
    <w:rsid w:val="00344BFA"/>
    <w:rsid w:val="00344F6F"/>
    <w:rsid w:val="00345954"/>
    <w:rsid w:val="00354185"/>
    <w:rsid w:val="0036626F"/>
    <w:rsid w:val="00366DE5"/>
    <w:rsid w:val="00367A6B"/>
    <w:rsid w:val="00367FD0"/>
    <w:rsid w:val="003705E0"/>
    <w:rsid w:val="00370C77"/>
    <w:rsid w:val="003712B7"/>
    <w:rsid w:val="0037591E"/>
    <w:rsid w:val="00376C2A"/>
    <w:rsid w:val="00380D42"/>
    <w:rsid w:val="00381BA1"/>
    <w:rsid w:val="003820FA"/>
    <w:rsid w:val="003865A8"/>
    <w:rsid w:val="003872D0"/>
    <w:rsid w:val="00387F41"/>
    <w:rsid w:val="003907BC"/>
    <w:rsid w:val="00390D12"/>
    <w:rsid w:val="00393B5F"/>
    <w:rsid w:val="0039614D"/>
    <w:rsid w:val="003A0218"/>
    <w:rsid w:val="003A1237"/>
    <w:rsid w:val="003A1F97"/>
    <w:rsid w:val="003A40C2"/>
    <w:rsid w:val="003A4FA1"/>
    <w:rsid w:val="003A4FA5"/>
    <w:rsid w:val="003A566C"/>
    <w:rsid w:val="003A60C2"/>
    <w:rsid w:val="003A647A"/>
    <w:rsid w:val="003A778B"/>
    <w:rsid w:val="003A77DA"/>
    <w:rsid w:val="003A7E37"/>
    <w:rsid w:val="003B0786"/>
    <w:rsid w:val="003B1447"/>
    <w:rsid w:val="003B31A0"/>
    <w:rsid w:val="003B5701"/>
    <w:rsid w:val="003B7FEA"/>
    <w:rsid w:val="003C0EAB"/>
    <w:rsid w:val="003C334B"/>
    <w:rsid w:val="003C3A75"/>
    <w:rsid w:val="003D54DF"/>
    <w:rsid w:val="003E07D3"/>
    <w:rsid w:val="003E305F"/>
    <w:rsid w:val="003E7B47"/>
    <w:rsid w:val="003E7EAD"/>
    <w:rsid w:val="003F0E5F"/>
    <w:rsid w:val="003F18FD"/>
    <w:rsid w:val="003F1D67"/>
    <w:rsid w:val="003F2488"/>
    <w:rsid w:val="003F369F"/>
    <w:rsid w:val="003F3C53"/>
    <w:rsid w:val="003F49AB"/>
    <w:rsid w:val="003F4A21"/>
    <w:rsid w:val="003F4A7B"/>
    <w:rsid w:val="003F5102"/>
    <w:rsid w:val="003F572E"/>
    <w:rsid w:val="003F57BA"/>
    <w:rsid w:val="003F6D69"/>
    <w:rsid w:val="00402412"/>
    <w:rsid w:val="004042D3"/>
    <w:rsid w:val="00404A14"/>
    <w:rsid w:val="0040606F"/>
    <w:rsid w:val="00407690"/>
    <w:rsid w:val="00413586"/>
    <w:rsid w:val="00413785"/>
    <w:rsid w:val="00414C95"/>
    <w:rsid w:val="00415FBB"/>
    <w:rsid w:val="00416E66"/>
    <w:rsid w:val="00421CDE"/>
    <w:rsid w:val="00423477"/>
    <w:rsid w:val="0042497B"/>
    <w:rsid w:val="0042602F"/>
    <w:rsid w:val="00426801"/>
    <w:rsid w:val="00430F1F"/>
    <w:rsid w:val="004317D1"/>
    <w:rsid w:val="00434AF4"/>
    <w:rsid w:val="004358C3"/>
    <w:rsid w:val="00435C58"/>
    <w:rsid w:val="00436918"/>
    <w:rsid w:val="00436925"/>
    <w:rsid w:val="00442D82"/>
    <w:rsid w:val="0045088E"/>
    <w:rsid w:val="00451120"/>
    <w:rsid w:val="0045167E"/>
    <w:rsid w:val="004542B0"/>
    <w:rsid w:val="00454FC1"/>
    <w:rsid w:val="0045558F"/>
    <w:rsid w:val="004574AE"/>
    <w:rsid w:val="004615B7"/>
    <w:rsid w:val="00465302"/>
    <w:rsid w:val="00471C1F"/>
    <w:rsid w:val="004764B4"/>
    <w:rsid w:val="00477D9A"/>
    <w:rsid w:val="004918A1"/>
    <w:rsid w:val="00492B73"/>
    <w:rsid w:val="00493B6D"/>
    <w:rsid w:val="004970F8"/>
    <w:rsid w:val="00497BCE"/>
    <w:rsid w:val="004A1126"/>
    <w:rsid w:val="004A2D1D"/>
    <w:rsid w:val="004A2D65"/>
    <w:rsid w:val="004A7955"/>
    <w:rsid w:val="004A7B2B"/>
    <w:rsid w:val="004B2285"/>
    <w:rsid w:val="004B22D7"/>
    <w:rsid w:val="004B2365"/>
    <w:rsid w:val="004C0B18"/>
    <w:rsid w:val="004C1A69"/>
    <w:rsid w:val="004C285F"/>
    <w:rsid w:val="004C30AC"/>
    <w:rsid w:val="004C55A7"/>
    <w:rsid w:val="004D2574"/>
    <w:rsid w:val="004D361F"/>
    <w:rsid w:val="004D370A"/>
    <w:rsid w:val="004D7C9E"/>
    <w:rsid w:val="004F341D"/>
    <w:rsid w:val="004F507B"/>
    <w:rsid w:val="004F5A24"/>
    <w:rsid w:val="004F6710"/>
    <w:rsid w:val="004F6CE4"/>
    <w:rsid w:val="00501318"/>
    <w:rsid w:val="00501688"/>
    <w:rsid w:val="00505116"/>
    <w:rsid w:val="005056B4"/>
    <w:rsid w:val="00506440"/>
    <w:rsid w:val="005119F9"/>
    <w:rsid w:val="0051207D"/>
    <w:rsid w:val="00512281"/>
    <w:rsid w:val="005135CD"/>
    <w:rsid w:val="00513D12"/>
    <w:rsid w:val="00514430"/>
    <w:rsid w:val="0051540C"/>
    <w:rsid w:val="005160A1"/>
    <w:rsid w:val="00520911"/>
    <w:rsid w:val="00520A23"/>
    <w:rsid w:val="00523D81"/>
    <w:rsid w:val="005250F9"/>
    <w:rsid w:val="0053246D"/>
    <w:rsid w:val="00532EA3"/>
    <w:rsid w:val="0053419B"/>
    <w:rsid w:val="005353C9"/>
    <w:rsid w:val="00536DDF"/>
    <w:rsid w:val="00537F64"/>
    <w:rsid w:val="00540E45"/>
    <w:rsid w:val="00541535"/>
    <w:rsid w:val="00542ABB"/>
    <w:rsid w:val="00542CC2"/>
    <w:rsid w:val="00546185"/>
    <w:rsid w:val="005512AB"/>
    <w:rsid w:val="0055527D"/>
    <w:rsid w:val="005559EE"/>
    <w:rsid w:val="00560946"/>
    <w:rsid w:val="00565CA3"/>
    <w:rsid w:val="00570071"/>
    <w:rsid w:val="00572729"/>
    <w:rsid w:val="005733E8"/>
    <w:rsid w:val="00575455"/>
    <w:rsid w:val="00575791"/>
    <w:rsid w:val="00577BE0"/>
    <w:rsid w:val="005800D0"/>
    <w:rsid w:val="005812BA"/>
    <w:rsid w:val="0058365E"/>
    <w:rsid w:val="005838D8"/>
    <w:rsid w:val="005839CC"/>
    <w:rsid w:val="005850A0"/>
    <w:rsid w:val="00585493"/>
    <w:rsid w:val="00587219"/>
    <w:rsid w:val="00592B06"/>
    <w:rsid w:val="005960F5"/>
    <w:rsid w:val="005A0380"/>
    <w:rsid w:val="005A4A66"/>
    <w:rsid w:val="005A59D9"/>
    <w:rsid w:val="005A793F"/>
    <w:rsid w:val="005B142B"/>
    <w:rsid w:val="005B51DC"/>
    <w:rsid w:val="005B68AA"/>
    <w:rsid w:val="005C0F2D"/>
    <w:rsid w:val="005C264E"/>
    <w:rsid w:val="005C4877"/>
    <w:rsid w:val="005D1038"/>
    <w:rsid w:val="005D1B54"/>
    <w:rsid w:val="005D1F16"/>
    <w:rsid w:val="005D42AD"/>
    <w:rsid w:val="005D4C54"/>
    <w:rsid w:val="005D5C71"/>
    <w:rsid w:val="005D75D4"/>
    <w:rsid w:val="005E082C"/>
    <w:rsid w:val="005E17A9"/>
    <w:rsid w:val="005E189B"/>
    <w:rsid w:val="005E43B2"/>
    <w:rsid w:val="005E44A0"/>
    <w:rsid w:val="005E6392"/>
    <w:rsid w:val="005F5838"/>
    <w:rsid w:val="005F6DE5"/>
    <w:rsid w:val="005F7AFB"/>
    <w:rsid w:val="00600743"/>
    <w:rsid w:val="00604F8A"/>
    <w:rsid w:val="00605C03"/>
    <w:rsid w:val="00605D8E"/>
    <w:rsid w:val="006067BE"/>
    <w:rsid w:val="006171AA"/>
    <w:rsid w:val="00617B99"/>
    <w:rsid w:val="00624B95"/>
    <w:rsid w:val="0062686B"/>
    <w:rsid w:val="00626E96"/>
    <w:rsid w:val="006270E6"/>
    <w:rsid w:val="0063001C"/>
    <w:rsid w:val="0063006A"/>
    <w:rsid w:val="00630364"/>
    <w:rsid w:val="00635690"/>
    <w:rsid w:val="00635A6D"/>
    <w:rsid w:val="0063717C"/>
    <w:rsid w:val="00637AC0"/>
    <w:rsid w:val="00640B9B"/>
    <w:rsid w:val="006458E0"/>
    <w:rsid w:val="0064768E"/>
    <w:rsid w:val="0065160D"/>
    <w:rsid w:val="00652531"/>
    <w:rsid w:val="00652A18"/>
    <w:rsid w:val="00652D7E"/>
    <w:rsid w:val="00652E61"/>
    <w:rsid w:val="00653E52"/>
    <w:rsid w:val="00654588"/>
    <w:rsid w:val="0065508C"/>
    <w:rsid w:val="00656D0B"/>
    <w:rsid w:val="006637B3"/>
    <w:rsid w:val="00665953"/>
    <w:rsid w:val="00665DD5"/>
    <w:rsid w:val="00672573"/>
    <w:rsid w:val="00674BB0"/>
    <w:rsid w:val="00682B92"/>
    <w:rsid w:val="006843BC"/>
    <w:rsid w:val="00684C71"/>
    <w:rsid w:val="00687716"/>
    <w:rsid w:val="00687F12"/>
    <w:rsid w:val="00690635"/>
    <w:rsid w:val="00690F78"/>
    <w:rsid w:val="00692AE5"/>
    <w:rsid w:val="00694976"/>
    <w:rsid w:val="006A1168"/>
    <w:rsid w:val="006A1383"/>
    <w:rsid w:val="006A5220"/>
    <w:rsid w:val="006A5C35"/>
    <w:rsid w:val="006B0314"/>
    <w:rsid w:val="006B1529"/>
    <w:rsid w:val="006B32D0"/>
    <w:rsid w:val="006B3398"/>
    <w:rsid w:val="006B463D"/>
    <w:rsid w:val="006B474D"/>
    <w:rsid w:val="006C0E2F"/>
    <w:rsid w:val="006C10D4"/>
    <w:rsid w:val="006C2B0F"/>
    <w:rsid w:val="006C3226"/>
    <w:rsid w:val="006C4E32"/>
    <w:rsid w:val="006C5B53"/>
    <w:rsid w:val="006D1050"/>
    <w:rsid w:val="006D3814"/>
    <w:rsid w:val="006D3CCC"/>
    <w:rsid w:val="006D4098"/>
    <w:rsid w:val="006D77D5"/>
    <w:rsid w:val="006E081F"/>
    <w:rsid w:val="006E16D1"/>
    <w:rsid w:val="006E4916"/>
    <w:rsid w:val="006E79C6"/>
    <w:rsid w:val="006E7F88"/>
    <w:rsid w:val="006F162C"/>
    <w:rsid w:val="006F1A22"/>
    <w:rsid w:val="006F2543"/>
    <w:rsid w:val="006F3C20"/>
    <w:rsid w:val="006F7E52"/>
    <w:rsid w:val="007002B3"/>
    <w:rsid w:val="00700E5D"/>
    <w:rsid w:val="00704209"/>
    <w:rsid w:val="00704250"/>
    <w:rsid w:val="00704A13"/>
    <w:rsid w:val="00705663"/>
    <w:rsid w:val="00705A36"/>
    <w:rsid w:val="00706C9D"/>
    <w:rsid w:val="007106BA"/>
    <w:rsid w:val="00711D95"/>
    <w:rsid w:val="00711EEA"/>
    <w:rsid w:val="0071275A"/>
    <w:rsid w:val="00712AEA"/>
    <w:rsid w:val="00715245"/>
    <w:rsid w:val="00715906"/>
    <w:rsid w:val="00715A34"/>
    <w:rsid w:val="00716045"/>
    <w:rsid w:val="00720156"/>
    <w:rsid w:val="0072049B"/>
    <w:rsid w:val="007247FD"/>
    <w:rsid w:val="00725C80"/>
    <w:rsid w:val="0073027A"/>
    <w:rsid w:val="00730F5B"/>
    <w:rsid w:val="00732938"/>
    <w:rsid w:val="00733EA0"/>
    <w:rsid w:val="00737E11"/>
    <w:rsid w:val="00740F2F"/>
    <w:rsid w:val="007442D5"/>
    <w:rsid w:val="0074488A"/>
    <w:rsid w:val="00745DC4"/>
    <w:rsid w:val="00746A5D"/>
    <w:rsid w:val="0074707A"/>
    <w:rsid w:val="00747719"/>
    <w:rsid w:val="00750137"/>
    <w:rsid w:val="007517A3"/>
    <w:rsid w:val="00756875"/>
    <w:rsid w:val="00762EC5"/>
    <w:rsid w:val="0076632A"/>
    <w:rsid w:val="00767F12"/>
    <w:rsid w:val="00770457"/>
    <w:rsid w:val="00772489"/>
    <w:rsid w:val="007728BC"/>
    <w:rsid w:val="00773951"/>
    <w:rsid w:val="007747AF"/>
    <w:rsid w:val="007808DF"/>
    <w:rsid w:val="00780BF6"/>
    <w:rsid w:val="00781AE9"/>
    <w:rsid w:val="0079073A"/>
    <w:rsid w:val="00791700"/>
    <w:rsid w:val="007A1F4E"/>
    <w:rsid w:val="007A462E"/>
    <w:rsid w:val="007A6996"/>
    <w:rsid w:val="007B129C"/>
    <w:rsid w:val="007B2507"/>
    <w:rsid w:val="007B3902"/>
    <w:rsid w:val="007B7D38"/>
    <w:rsid w:val="007C03AB"/>
    <w:rsid w:val="007C1ED9"/>
    <w:rsid w:val="007C4D62"/>
    <w:rsid w:val="007C7436"/>
    <w:rsid w:val="007C79BC"/>
    <w:rsid w:val="007D114F"/>
    <w:rsid w:val="007D21A7"/>
    <w:rsid w:val="007D50BB"/>
    <w:rsid w:val="007D5101"/>
    <w:rsid w:val="007D65C5"/>
    <w:rsid w:val="007E3253"/>
    <w:rsid w:val="007E4CF4"/>
    <w:rsid w:val="007E66D0"/>
    <w:rsid w:val="007F2158"/>
    <w:rsid w:val="007F3D8A"/>
    <w:rsid w:val="007F4E0C"/>
    <w:rsid w:val="007F524F"/>
    <w:rsid w:val="007F6F8D"/>
    <w:rsid w:val="008005AE"/>
    <w:rsid w:val="00801E93"/>
    <w:rsid w:val="0080233D"/>
    <w:rsid w:val="008040B6"/>
    <w:rsid w:val="00805822"/>
    <w:rsid w:val="008075D4"/>
    <w:rsid w:val="00810086"/>
    <w:rsid w:val="00810AC4"/>
    <w:rsid w:val="00811A24"/>
    <w:rsid w:val="008129F4"/>
    <w:rsid w:val="008212F8"/>
    <w:rsid w:val="00822A86"/>
    <w:rsid w:val="00823AC6"/>
    <w:rsid w:val="008245E3"/>
    <w:rsid w:val="00824CC6"/>
    <w:rsid w:val="00826570"/>
    <w:rsid w:val="00826B08"/>
    <w:rsid w:val="00831747"/>
    <w:rsid w:val="00832727"/>
    <w:rsid w:val="0083554B"/>
    <w:rsid w:val="00835965"/>
    <w:rsid w:val="00835C18"/>
    <w:rsid w:val="008374F3"/>
    <w:rsid w:val="008408C0"/>
    <w:rsid w:val="00844C47"/>
    <w:rsid w:val="00847415"/>
    <w:rsid w:val="00851FAA"/>
    <w:rsid w:val="00853FB8"/>
    <w:rsid w:val="008569F9"/>
    <w:rsid w:val="008611E4"/>
    <w:rsid w:val="00861E21"/>
    <w:rsid w:val="008626F8"/>
    <w:rsid w:val="008666B9"/>
    <w:rsid w:val="00867D1F"/>
    <w:rsid w:val="008707BB"/>
    <w:rsid w:val="00874D93"/>
    <w:rsid w:val="00877CE8"/>
    <w:rsid w:val="00880348"/>
    <w:rsid w:val="008826B2"/>
    <w:rsid w:val="00882AB0"/>
    <w:rsid w:val="00885FBD"/>
    <w:rsid w:val="008863B8"/>
    <w:rsid w:val="0088657E"/>
    <w:rsid w:val="00886C69"/>
    <w:rsid w:val="008870AE"/>
    <w:rsid w:val="00892683"/>
    <w:rsid w:val="00893361"/>
    <w:rsid w:val="008A05BB"/>
    <w:rsid w:val="008A1DC8"/>
    <w:rsid w:val="008A317E"/>
    <w:rsid w:val="008A3F66"/>
    <w:rsid w:val="008B0590"/>
    <w:rsid w:val="008B1CBD"/>
    <w:rsid w:val="008B24F6"/>
    <w:rsid w:val="008B7441"/>
    <w:rsid w:val="008C1972"/>
    <w:rsid w:val="008C1F38"/>
    <w:rsid w:val="008C30B4"/>
    <w:rsid w:val="008C428A"/>
    <w:rsid w:val="008C46EE"/>
    <w:rsid w:val="008C6B44"/>
    <w:rsid w:val="008C7555"/>
    <w:rsid w:val="008C75B3"/>
    <w:rsid w:val="008D32A4"/>
    <w:rsid w:val="008D3574"/>
    <w:rsid w:val="008D6BC8"/>
    <w:rsid w:val="008E0D6C"/>
    <w:rsid w:val="008E2501"/>
    <w:rsid w:val="008E6451"/>
    <w:rsid w:val="008F2031"/>
    <w:rsid w:val="008F43D5"/>
    <w:rsid w:val="008F5B96"/>
    <w:rsid w:val="00900428"/>
    <w:rsid w:val="00900A9F"/>
    <w:rsid w:val="009012FA"/>
    <w:rsid w:val="009024C5"/>
    <w:rsid w:val="009030AC"/>
    <w:rsid w:val="00904A91"/>
    <w:rsid w:val="009075CE"/>
    <w:rsid w:val="00907882"/>
    <w:rsid w:val="00907F1A"/>
    <w:rsid w:val="0091082D"/>
    <w:rsid w:val="00913B96"/>
    <w:rsid w:val="00923377"/>
    <w:rsid w:val="00925598"/>
    <w:rsid w:val="00926B54"/>
    <w:rsid w:val="009270DA"/>
    <w:rsid w:val="00932BF0"/>
    <w:rsid w:val="00932D36"/>
    <w:rsid w:val="009435BF"/>
    <w:rsid w:val="00954812"/>
    <w:rsid w:val="00955182"/>
    <w:rsid w:val="00956DCB"/>
    <w:rsid w:val="0095731F"/>
    <w:rsid w:val="009575CC"/>
    <w:rsid w:val="00962739"/>
    <w:rsid w:val="0096310A"/>
    <w:rsid w:val="009634BB"/>
    <w:rsid w:val="009639EA"/>
    <w:rsid w:val="00967B3A"/>
    <w:rsid w:val="009721BF"/>
    <w:rsid w:val="009740A4"/>
    <w:rsid w:val="009744AD"/>
    <w:rsid w:val="00980B27"/>
    <w:rsid w:val="00982329"/>
    <w:rsid w:val="00982C6D"/>
    <w:rsid w:val="00985BD8"/>
    <w:rsid w:val="00990231"/>
    <w:rsid w:val="0099087B"/>
    <w:rsid w:val="00990DAC"/>
    <w:rsid w:val="00993CCD"/>
    <w:rsid w:val="00994D50"/>
    <w:rsid w:val="0099508F"/>
    <w:rsid w:val="009A4208"/>
    <w:rsid w:val="009B0930"/>
    <w:rsid w:val="009B3BF7"/>
    <w:rsid w:val="009B3D14"/>
    <w:rsid w:val="009B73DF"/>
    <w:rsid w:val="009C4068"/>
    <w:rsid w:val="009D0D34"/>
    <w:rsid w:val="009D79D0"/>
    <w:rsid w:val="009E0F9B"/>
    <w:rsid w:val="009E178C"/>
    <w:rsid w:val="009E4651"/>
    <w:rsid w:val="009F3914"/>
    <w:rsid w:val="009F3D9C"/>
    <w:rsid w:val="009F6788"/>
    <w:rsid w:val="00A00750"/>
    <w:rsid w:val="00A0415F"/>
    <w:rsid w:val="00A0732C"/>
    <w:rsid w:val="00A10614"/>
    <w:rsid w:val="00A1086A"/>
    <w:rsid w:val="00A1175F"/>
    <w:rsid w:val="00A13164"/>
    <w:rsid w:val="00A13E0E"/>
    <w:rsid w:val="00A16907"/>
    <w:rsid w:val="00A171F6"/>
    <w:rsid w:val="00A2109F"/>
    <w:rsid w:val="00A21EA6"/>
    <w:rsid w:val="00A22E7E"/>
    <w:rsid w:val="00A2421C"/>
    <w:rsid w:val="00A25B3D"/>
    <w:rsid w:val="00A3135D"/>
    <w:rsid w:val="00A3488F"/>
    <w:rsid w:val="00A354E8"/>
    <w:rsid w:val="00A400A2"/>
    <w:rsid w:val="00A4053A"/>
    <w:rsid w:val="00A4069D"/>
    <w:rsid w:val="00A4342C"/>
    <w:rsid w:val="00A43FEE"/>
    <w:rsid w:val="00A51EEC"/>
    <w:rsid w:val="00A61BA7"/>
    <w:rsid w:val="00A61C8B"/>
    <w:rsid w:val="00A638D3"/>
    <w:rsid w:val="00A66D19"/>
    <w:rsid w:val="00A671B7"/>
    <w:rsid w:val="00A71079"/>
    <w:rsid w:val="00A715A4"/>
    <w:rsid w:val="00A727C6"/>
    <w:rsid w:val="00A7327E"/>
    <w:rsid w:val="00A77AFE"/>
    <w:rsid w:val="00A77C69"/>
    <w:rsid w:val="00A77DAE"/>
    <w:rsid w:val="00A80624"/>
    <w:rsid w:val="00A832BF"/>
    <w:rsid w:val="00A83764"/>
    <w:rsid w:val="00A85276"/>
    <w:rsid w:val="00A857DA"/>
    <w:rsid w:val="00A86D5B"/>
    <w:rsid w:val="00A87897"/>
    <w:rsid w:val="00A92AFA"/>
    <w:rsid w:val="00A95CE5"/>
    <w:rsid w:val="00AA0C60"/>
    <w:rsid w:val="00AA19AE"/>
    <w:rsid w:val="00AA573A"/>
    <w:rsid w:val="00AB0F8A"/>
    <w:rsid w:val="00AB1D48"/>
    <w:rsid w:val="00AB2D50"/>
    <w:rsid w:val="00AB3B48"/>
    <w:rsid w:val="00AB5D97"/>
    <w:rsid w:val="00AB60DA"/>
    <w:rsid w:val="00AB619B"/>
    <w:rsid w:val="00AB6EEE"/>
    <w:rsid w:val="00AC0A8F"/>
    <w:rsid w:val="00AC34D3"/>
    <w:rsid w:val="00AC46A9"/>
    <w:rsid w:val="00AC58FA"/>
    <w:rsid w:val="00AD0B7D"/>
    <w:rsid w:val="00AD3752"/>
    <w:rsid w:val="00AD5651"/>
    <w:rsid w:val="00AD7FE7"/>
    <w:rsid w:val="00AE1354"/>
    <w:rsid w:val="00AE1B6B"/>
    <w:rsid w:val="00AE2FCB"/>
    <w:rsid w:val="00AE4E2E"/>
    <w:rsid w:val="00AE540E"/>
    <w:rsid w:val="00AE5C45"/>
    <w:rsid w:val="00AE758A"/>
    <w:rsid w:val="00AF22D3"/>
    <w:rsid w:val="00AF2D4B"/>
    <w:rsid w:val="00AF35FB"/>
    <w:rsid w:val="00AF4974"/>
    <w:rsid w:val="00AF5C38"/>
    <w:rsid w:val="00AF655F"/>
    <w:rsid w:val="00B1000F"/>
    <w:rsid w:val="00B12D66"/>
    <w:rsid w:val="00B135E8"/>
    <w:rsid w:val="00B17013"/>
    <w:rsid w:val="00B255F9"/>
    <w:rsid w:val="00B2743B"/>
    <w:rsid w:val="00B2761B"/>
    <w:rsid w:val="00B27A52"/>
    <w:rsid w:val="00B30D25"/>
    <w:rsid w:val="00B3413A"/>
    <w:rsid w:val="00B355B5"/>
    <w:rsid w:val="00B367BA"/>
    <w:rsid w:val="00B37870"/>
    <w:rsid w:val="00B42098"/>
    <w:rsid w:val="00B429B7"/>
    <w:rsid w:val="00B459AD"/>
    <w:rsid w:val="00B5015C"/>
    <w:rsid w:val="00B53FA3"/>
    <w:rsid w:val="00B551EC"/>
    <w:rsid w:val="00B55E04"/>
    <w:rsid w:val="00B57EC1"/>
    <w:rsid w:val="00B63828"/>
    <w:rsid w:val="00B63979"/>
    <w:rsid w:val="00B647E9"/>
    <w:rsid w:val="00B72629"/>
    <w:rsid w:val="00B73358"/>
    <w:rsid w:val="00B75052"/>
    <w:rsid w:val="00B80BAF"/>
    <w:rsid w:val="00B83E55"/>
    <w:rsid w:val="00B83FAA"/>
    <w:rsid w:val="00B84704"/>
    <w:rsid w:val="00B86E05"/>
    <w:rsid w:val="00B871D0"/>
    <w:rsid w:val="00B875CA"/>
    <w:rsid w:val="00B90E39"/>
    <w:rsid w:val="00B943E5"/>
    <w:rsid w:val="00B977E4"/>
    <w:rsid w:val="00BA0922"/>
    <w:rsid w:val="00BA0FB9"/>
    <w:rsid w:val="00BA2E79"/>
    <w:rsid w:val="00BA3E35"/>
    <w:rsid w:val="00BA6C39"/>
    <w:rsid w:val="00BB170B"/>
    <w:rsid w:val="00BB19D4"/>
    <w:rsid w:val="00BB1AE3"/>
    <w:rsid w:val="00BB2C5E"/>
    <w:rsid w:val="00BB36D4"/>
    <w:rsid w:val="00BB5502"/>
    <w:rsid w:val="00BB77E1"/>
    <w:rsid w:val="00BB7FA0"/>
    <w:rsid w:val="00BC13F9"/>
    <w:rsid w:val="00BC2266"/>
    <w:rsid w:val="00BD11A7"/>
    <w:rsid w:val="00BD2515"/>
    <w:rsid w:val="00BD491E"/>
    <w:rsid w:val="00BE6E4F"/>
    <w:rsid w:val="00BF369E"/>
    <w:rsid w:val="00BF56F7"/>
    <w:rsid w:val="00BF6533"/>
    <w:rsid w:val="00C005F6"/>
    <w:rsid w:val="00C00B47"/>
    <w:rsid w:val="00C03235"/>
    <w:rsid w:val="00C0353C"/>
    <w:rsid w:val="00C063CB"/>
    <w:rsid w:val="00C07C5A"/>
    <w:rsid w:val="00C105D0"/>
    <w:rsid w:val="00C12463"/>
    <w:rsid w:val="00C144F3"/>
    <w:rsid w:val="00C21C1A"/>
    <w:rsid w:val="00C22698"/>
    <w:rsid w:val="00C243D7"/>
    <w:rsid w:val="00C267F4"/>
    <w:rsid w:val="00C26A73"/>
    <w:rsid w:val="00C30147"/>
    <w:rsid w:val="00C34702"/>
    <w:rsid w:val="00C3480D"/>
    <w:rsid w:val="00C349BB"/>
    <w:rsid w:val="00C351AC"/>
    <w:rsid w:val="00C36869"/>
    <w:rsid w:val="00C372F4"/>
    <w:rsid w:val="00C40581"/>
    <w:rsid w:val="00C41C70"/>
    <w:rsid w:val="00C43637"/>
    <w:rsid w:val="00C4519D"/>
    <w:rsid w:val="00C47397"/>
    <w:rsid w:val="00C50EB9"/>
    <w:rsid w:val="00C537BD"/>
    <w:rsid w:val="00C56934"/>
    <w:rsid w:val="00C57236"/>
    <w:rsid w:val="00C611A2"/>
    <w:rsid w:val="00C62C6F"/>
    <w:rsid w:val="00C67262"/>
    <w:rsid w:val="00C74F2D"/>
    <w:rsid w:val="00C76916"/>
    <w:rsid w:val="00C81F34"/>
    <w:rsid w:val="00C83387"/>
    <w:rsid w:val="00C839FA"/>
    <w:rsid w:val="00C848E8"/>
    <w:rsid w:val="00C84E3B"/>
    <w:rsid w:val="00C87544"/>
    <w:rsid w:val="00C904FB"/>
    <w:rsid w:val="00C90607"/>
    <w:rsid w:val="00C969BA"/>
    <w:rsid w:val="00CA277B"/>
    <w:rsid w:val="00CA4627"/>
    <w:rsid w:val="00CA5196"/>
    <w:rsid w:val="00CC04FE"/>
    <w:rsid w:val="00CC48F6"/>
    <w:rsid w:val="00CC4D98"/>
    <w:rsid w:val="00CC608F"/>
    <w:rsid w:val="00CC66E2"/>
    <w:rsid w:val="00CD2AEB"/>
    <w:rsid w:val="00CD354E"/>
    <w:rsid w:val="00CD5987"/>
    <w:rsid w:val="00CE094D"/>
    <w:rsid w:val="00CE4032"/>
    <w:rsid w:val="00CE665E"/>
    <w:rsid w:val="00CE7A02"/>
    <w:rsid w:val="00CE7A53"/>
    <w:rsid w:val="00CF213B"/>
    <w:rsid w:val="00CF2A9F"/>
    <w:rsid w:val="00CF36A9"/>
    <w:rsid w:val="00CF7384"/>
    <w:rsid w:val="00D05236"/>
    <w:rsid w:val="00D11620"/>
    <w:rsid w:val="00D12A5B"/>
    <w:rsid w:val="00D13656"/>
    <w:rsid w:val="00D30A4E"/>
    <w:rsid w:val="00D34675"/>
    <w:rsid w:val="00D35734"/>
    <w:rsid w:val="00D36952"/>
    <w:rsid w:val="00D37635"/>
    <w:rsid w:val="00D4377D"/>
    <w:rsid w:val="00D43DF7"/>
    <w:rsid w:val="00D44687"/>
    <w:rsid w:val="00D4558B"/>
    <w:rsid w:val="00D45A15"/>
    <w:rsid w:val="00D471AF"/>
    <w:rsid w:val="00D51F65"/>
    <w:rsid w:val="00D52CA2"/>
    <w:rsid w:val="00D54E36"/>
    <w:rsid w:val="00D551F0"/>
    <w:rsid w:val="00D55838"/>
    <w:rsid w:val="00D5682F"/>
    <w:rsid w:val="00D604CB"/>
    <w:rsid w:val="00D63B55"/>
    <w:rsid w:val="00D649B3"/>
    <w:rsid w:val="00D66C25"/>
    <w:rsid w:val="00D730BC"/>
    <w:rsid w:val="00D77CCE"/>
    <w:rsid w:val="00D822EF"/>
    <w:rsid w:val="00D823ED"/>
    <w:rsid w:val="00D82857"/>
    <w:rsid w:val="00D86863"/>
    <w:rsid w:val="00D8721A"/>
    <w:rsid w:val="00D91C10"/>
    <w:rsid w:val="00D9262E"/>
    <w:rsid w:val="00D92BD5"/>
    <w:rsid w:val="00D94375"/>
    <w:rsid w:val="00D96F06"/>
    <w:rsid w:val="00DA0BC0"/>
    <w:rsid w:val="00DA1E5B"/>
    <w:rsid w:val="00DA26D4"/>
    <w:rsid w:val="00DA4A84"/>
    <w:rsid w:val="00DA51A1"/>
    <w:rsid w:val="00DA781B"/>
    <w:rsid w:val="00DB0836"/>
    <w:rsid w:val="00DB23F0"/>
    <w:rsid w:val="00DB307F"/>
    <w:rsid w:val="00DB492E"/>
    <w:rsid w:val="00DB53C9"/>
    <w:rsid w:val="00DB6CE9"/>
    <w:rsid w:val="00DB75EC"/>
    <w:rsid w:val="00DC1225"/>
    <w:rsid w:val="00DC4710"/>
    <w:rsid w:val="00DC774A"/>
    <w:rsid w:val="00DD0C03"/>
    <w:rsid w:val="00DD1653"/>
    <w:rsid w:val="00DD1CC4"/>
    <w:rsid w:val="00DD2683"/>
    <w:rsid w:val="00DD4984"/>
    <w:rsid w:val="00DF49D5"/>
    <w:rsid w:val="00E0011C"/>
    <w:rsid w:val="00E01506"/>
    <w:rsid w:val="00E054F4"/>
    <w:rsid w:val="00E06E0F"/>
    <w:rsid w:val="00E126C7"/>
    <w:rsid w:val="00E14891"/>
    <w:rsid w:val="00E15927"/>
    <w:rsid w:val="00E168FE"/>
    <w:rsid w:val="00E21CCF"/>
    <w:rsid w:val="00E21EC0"/>
    <w:rsid w:val="00E22238"/>
    <w:rsid w:val="00E22F36"/>
    <w:rsid w:val="00E2477D"/>
    <w:rsid w:val="00E24905"/>
    <w:rsid w:val="00E2566A"/>
    <w:rsid w:val="00E30FB2"/>
    <w:rsid w:val="00E31097"/>
    <w:rsid w:val="00E317E5"/>
    <w:rsid w:val="00E434B6"/>
    <w:rsid w:val="00E434C1"/>
    <w:rsid w:val="00E53FBB"/>
    <w:rsid w:val="00E56E6C"/>
    <w:rsid w:val="00E61F8F"/>
    <w:rsid w:val="00E651AC"/>
    <w:rsid w:val="00E72107"/>
    <w:rsid w:val="00E731EE"/>
    <w:rsid w:val="00E73C21"/>
    <w:rsid w:val="00E74118"/>
    <w:rsid w:val="00E74E34"/>
    <w:rsid w:val="00E77763"/>
    <w:rsid w:val="00E77F2E"/>
    <w:rsid w:val="00E800A4"/>
    <w:rsid w:val="00E8072F"/>
    <w:rsid w:val="00E80773"/>
    <w:rsid w:val="00E813F7"/>
    <w:rsid w:val="00E81A95"/>
    <w:rsid w:val="00E81E12"/>
    <w:rsid w:val="00E834E5"/>
    <w:rsid w:val="00E84109"/>
    <w:rsid w:val="00E8731A"/>
    <w:rsid w:val="00E90671"/>
    <w:rsid w:val="00E9113C"/>
    <w:rsid w:val="00E9268A"/>
    <w:rsid w:val="00E961A2"/>
    <w:rsid w:val="00E97CF8"/>
    <w:rsid w:val="00EA0ABF"/>
    <w:rsid w:val="00EA1902"/>
    <w:rsid w:val="00EA1EDE"/>
    <w:rsid w:val="00EA2779"/>
    <w:rsid w:val="00EA2E3A"/>
    <w:rsid w:val="00EA40BE"/>
    <w:rsid w:val="00EA4BBB"/>
    <w:rsid w:val="00EA4CA4"/>
    <w:rsid w:val="00EA53C2"/>
    <w:rsid w:val="00EB1CA1"/>
    <w:rsid w:val="00EB228F"/>
    <w:rsid w:val="00EB2D2F"/>
    <w:rsid w:val="00EB55D3"/>
    <w:rsid w:val="00EB676E"/>
    <w:rsid w:val="00EB6A0D"/>
    <w:rsid w:val="00EB6C30"/>
    <w:rsid w:val="00EB6FDB"/>
    <w:rsid w:val="00EB744D"/>
    <w:rsid w:val="00EC1473"/>
    <w:rsid w:val="00EC35FF"/>
    <w:rsid w:val="00EC5260"/>
    <w:rsid w:val="00EC5317"/>
    <w:rsid w:val="00EC54C7"/>
    <w:rsid w:val="00ED2BB2"/>
    <w:rsid w:val="00ED3BA6"/>
    <w:rsid w:val="00ED6264"/>
    <w:rsid w:val="00ED78C7"/>
    <w:rsid w:val="00EE45A0"/>
    <w:rsid w:val="00EE4FBD"/>
    <w:rsid w:val="00EE6C01"/>
    <w:rsid w:val="00EF063D"/>
    <w:rsid w:val="00EF293A"/>
    <w:rsid w:val="00EF6084"/>
    <w:rsid w:val="00EF679A"/>
    <w:rsid w:val="00F0382F"/>
    <w:rsid w:val="00F0528D"/>
    <w:rsid w:val="00F059C1"/>
    <w:rsid w:val="00F10727"/>
    <w:rsid w:val="00F15B5B"/>
    <w:rsid w:val="00F16034"/>
    <w:rsid w:val="00F1604F"/>
    <w:rsid w:val="00F1765F"/>
    <w:rsid w:val="00F20759"/>
    <w:rsid w:val="00F20ACB"/>
    <w:rsid w:val="00F232B9"/>
    <w:rsid w:val="00F26B76"/>
    <w:rsid w:val="00F2776C"/>
    <w:rsid w:val="00F278F2"/>
    <w:rsid w:val="00F27CBB"/>
    <w:rsid w:val="00F3086A"/>
    <w:rsid w:val="00F30E13"/>
    <w:rsid w:val="00F328E4"/>
    <w:rsid w:val="00F3363B"/>
    <w:rsid w:val="00F34394"/>
    <w:rsid w:val="00F34758"/>
    <w:rsid w:val="00F36FFE"/>
    <w:rsid w:val="00F37C44"/>
    <w:rsid w:val="00F40A97"/>
    <w:rsid w:val="00F40AB2"/>
    <w:rsid w:val="00F40C75"/>
    <w:rsid w:val="00F428AE"/>
    <w:rsid w:val="00F42E31"/>
    <w:rsid w:val="00F470AE"/>
    <w:rsid w:val="00F50873"/>
    <w:rsid w:val="00F51C57"/>
    <w:rsid w:val="00F60A14"/>
    <w:rsid w:val="00F60F80"/>
    <w:rsid w:val="00F634A4"/>
    <w:rsid w:val="00F65179"/>
    <w:rsid w:val="00F659E9"/>
    <w:rsid w:val="00F67810"/>
    <w:rsid w:val="00F70BC5"/>
    <w:rsid w:val="00F7107D"/>
    <w:rsid w:val="00F71FAC"/>
    <w:rsid w:val="00F72B54"/>
    <w:rsid w:val="00F73326"/>
    <w:rsid w:val="00F74655"/>
    <w:rsid w:val="00F747EA"/>
    <w:rsid w:val="00F7661B"/>
    <w:rsid w:val="00F775D5"/>
    <w:rsid w:val="00F77E0D"/>
    <w:rsid w:val="00F80798"/>
    <w:rsid w:val="00F81732"/>
    <w:rsid w:val="00F82A97"/>
    <w:rsid w:val="00F83473"/>
    <w:rsid w:val="00F84720"/>
    <w:rsid w:val="00F86D02"/>
    <w:rsid w:val="00F87541"/>
    <w:rsid w:val="00F908A6"/>
    <w:rsid w:val="00F93AAB"/>
    <w:rsid w:val="00F943BF"/>
    <w:rsid w:val="00F94CDD"/>
    <w:rsid w:val="00F95A68"/>
    <w:rsid w:val="00F96D1C"/>
    <w:rsid w:val="00FA0A09"/>
    <w:rsid w:val="00FA32EB"/>
    <w:rsid w:val="00FA49FC"/>
    <w:rsid w:val="00FA4B46"/>
    <w:rsid w:val="00FA7F4F"/>
    <w:rsid w:val="00FB05DB"/>
    <w:rsid w:val="00FB203D"/>
    <w:rsid w:val="00FB3FF0"/>
    <w:rsid w:val="00FB517E"/>
    <w:rsid w:val="00FB661B"/>
    <w:rsid w:val="00FC276E"/>
    <w:rsid w:val="00FC3A5B"/>
    <w:rsid w:val="00FC5B15"/>
    <w:rsid w:val="00FC667C"/>
    <w:rsid w:val="00FD258D"/>
    <w:rsid w:val="00FD370C"/>
    <w:rsid w:val="00FD475A"/>
    <w:rsid w:val="00FD58F2"/>
    <w:rsid w:val="00FD7B3A"/>
    <w:rsid w:val="00FE263B"/>
    <w:rsid w:val="00FE2D42"/>
    <w:rsid w:val="00FE5CFD"/>
    <w:rsid w:val="00FE6DFC"/>
    <w:rsid w:val="00FF14C2"/>
    <w:rsid w:val="00FF25A1"/>
    <w:rsid w:val="00FF35F0"/>
    <w:rsid w:val="00FF4AD9"/>
    <w:rsid w:val="00FF5D84"/>
    <w:rsid w:val="09D17F9B"/>
    <w:rsid w:val="0E624B42"/>
    <w:rsid w:val="251C5C1F"/>
    <w:rsid w:val="31DB6A7E"/>
    <w:rsid w:val="40303B18"/>
    <w:rsid w:val="43E1584B"/>
    <w:rsid w:val="440A38FC"/>
    <w:rsid w:val="55DA429A"/>
    <w:rsid w:val="5DB31CB2"/>
    <w:rsid w:val="63090781"/>
    <w:rsid w:val="78425BFE"/>
    <w:rsid w:val="7DAD103E"/>
  </w:rsids>
  <m:mathPr>
    <m:mathFont m:val="Cambria Math"/>
    <m:brkBin m:val="before"/>
    <m:brkBinSub m:val="--"/>
    <m:smallFrac m:val="0"/>
    <m:dispDef/>
    <m:lMargin m:val="0"/>
    <m:rMargin m:val="0"/>
    <m:defJc m:val="centerGroup"/>
    <m:wrapIndent m:val="1440"/>
    <m:intLim m:val="subSup"/>
    <m:naryLim m:val="undOvr"/>
  </m:mathPr>
  <w:themeFontLang w:val="sv-SE"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8617DF8"/>
  <w15:docId w15:val="{BE2D9C44-CE28-4714-8111-4EC064B66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ind w:left="72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qFormat/>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qFormat/>
    <w:rPr>
      <w:rFonts w:ascii="Calibri Light" w:eastAsia="Malgun Gothic" w:hAnsi="Calibri Light" w:cs="Malgun Gothic"/>
      <w:bCs/>
      <w:lang w:val="en-US" w:eastAsia="ja-JP"/>
    </w:rPr>
  </w:style>
  <w:style w:type="character" w:customStyle="1" w:styleId="Heading7Char">
    <w:name w:val="Heading 7 Char"/>
    <w:basedOn w:val="DefaultParagraphFont"/>
    <w:link w:val="Heading7"/>
    <w:qFormat/>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qFormat/>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qFormat/>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 w:type="paragraph" w:customStyle="1" w:styleId="2">
    <w:name w:val="修订2"/>
    <w:hidden/>
    <w:uiPriority w:val="99"/>
    <w:semiHidden/>
    <w:qFormat/>
    <w:rPr>
      <w:rFonts w:ascii="Malgun Gothic" w:eastAsia="Malgun Gothic" w:hAnsi="Malgun Gothic" w:cs="Malgun Gothic"/>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2.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7.xml><?xml version="1.0" encoding="utf-8"?>
<ds:datastoreItem xmlns:ds="http://schemas.openxmlformats.org/officeDocument/2006/customXml" ds:itemID="{E1F8E47C-1618-443B-B3B1-0ACC87AD7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18</Pages>
  <Words>6278</Words>
  <Characters>35789</Characters>
  <Application>Microsoft Office Word</Application>
  <DocSecurity>0</DocSecurity>
  <Lines>298</Lines>
  <Paragraphs>83</Paragraphs>
  <ScaleCrop>false</ScaleCrop>
  <Company>Huawei Technologies Co., Ltd.</Company>
  <LinksUpToDate>false</LinksUpToDate>
  <CharactersWithSpaces>41984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Filip Barac</cp:lastModifiedBy>
  <cp:revision>96</cp:revision>
  <dcterms:created xsi:type="dcterms:W3CDTF">2022-10-12T04:50:00Z</dcterms:created>
  <dcterms:modified xsi:type="dcterms:W3CDTF">2022-10-13T11:08:00Z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2052-11.8.2.9022</vt:lpwstr>
  </property>
  <property fmtid="{D5CDD505-2E9C-101B-9397-08002B2CF9AE}" pid="5" name="_2015_ms_pID_725343">
    <vt:lpwstr>(3)2enRIAVj5uSSzkEYd4a+DjSafVPGquPawiOju8MNbOV3zK5/8T8dW3iY21FW3SHzbzKccd/F
J3mnPdSBhGJSq89oGE+8cKDFGKr0W+ulNOf9jb3vJXGf9oJdzjWqBvgSBzEy7zIPn+tBqjiG
5+vs8JpLJUtUR7sxBji63ljET2L/23p+uSDwLAxM06TcIZAeW2oFoXWMr97bkxT3LYBdKMvz
0qIY0keR7eDkvDsDW5</vt:lpwstr>
  </property>
  <property fmtid="{D5CDD505-2E9C-101B-9397-08002B2CF9AE}" pid="6" name="_2015_ms_pID_7253431">
    <vt:lpwstr>Kp0+k1VtAC+eH45SZs9S9nR4PThYHHlz0kNNu0jbUg8b/jCp8x+Eqc
RFUOI/HhmhYOp6F68haOIhdFzmHvZszbSKhXH+F0FmvRWD0hGkIr8+y0h50cJJ1s0d7yNbOA
jar2cZ/gPle+GWu9Te6IPKKSXlJ8DMD4YGuQIT5JCspMt2ed7d+2Dmm/cw+YGmRbsyWuIPjT
LI541IomXIA1qn7LwZ7BqIexv1fjNE8YoMpW</vt:lpwstr>
  </property>
  <property fmtid="{D5CDD505-2E9C-101B-9397-08002B2CF9AE}" pid="7" name="_2015_ms_pID_7253432">
    <vt:lpwstr>fg==</vt:lpwstr>
  </property>
</Properties>
</file>